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377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25A6FF"/>
          <w:spacing w:val="26"/>
          <w:w w:val="105"/>
          <w:sz w:val="70"/>
        </w:rPr>
        <w:t>Blake</w:t>
      </w:r>
      <w:r>
        <w:rPr>
          <w:rFonts w:ascii="Arial"/>
          <w:b/>
          <w:color w:val="25A6FF"/>
          <w:spacing w:val="-18"/>
          <w:w w:val="105"/>
          <w:sz w:val="70"/>
        </w:rPr>
        <w:t> </w:t>
      </w:r>
      <w:r>
        <w:rPr>
          <w:rFonts w:ascii="Microsoft Sans Serif"/>
          <w:color w:val="25A6FF"/>
          <w:spacing w:val="27"/>
          <w:w w:val="105"/>
          <w:sz w:val="70"/>
        </w:rPr>
        <w:t>Allen</w:t>
      </w:r>
    </w:p>
    <w:p>
      <w:pPr>
        <w:pStyle w:val="Heading1"/>
        <w:spacing w:before="132"/>
        <w:ind w:left="4377"/>
        <w:jc w:val="center"/>
        <w:rPr>
          <w:rFonts w:ascii="Arial"/>
        </w:rPr>
      </w:pPr>
      <w:r>
        <w:rPr>
          <w:rFonts w:ascii="Arial"/>
          <w:color w:val="25A6FF"/>
          <w:w w:val="105"/>
        </w:rPr>
        <w:t>Warehouse</w:t>
      </w:r>
      <w:r>
        <w:rPr>
          <w:rFonts w:ascii="Arial"/>
          <w:color w:val="25A6FF"/>
          <w:spacing w:val="20"/>
          <w:w w:val="105"/>
        </w:rPr>
        <w:t> </w:t>
      </w:r>
      <w:r>
        <w:rPr>
          <w:rFonts w:ascii="Arial"/>
          <w:color w:val="25A6FF"/>
          <w:w w:val="105"/>
        </w:rPr>
        <w:t>Forklift</w:t>
      </w:r>
      <w:r>
        <w:rPr>
          <w:rFonts w:ascii="Arial"/>
          <w:color w:val="25A6FF"/>
          <w:spacing w:val="21"/>
          <w:w w:val="105"/>
        </w:rPr>
        <w:t> </w:t>
      </w:r>
      <w:r>
        <w:rPr>
          <w:rFonts w:ascii="Arial"/>
          <w:color w:val="25A6FF"/>
          <w:spacing w:val="-2"/>
          <w:w w:val="105"/>
        </w:rPr>
        <w:t>Trainer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1"/>
        <w:rPr>
          <w:rFonts w:ascii="Arial"/>
          <w:b/>
          <w:sz w:val="15"/>
        </w:rPr>
      </w:pPr>
    </w:p>
    <w:p>
      <w:pPr>
        <w:pStyle w:val="BodyText"/>
        <w:ind w:left="1155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61"/>
      </w:pPr>
    </w:p>
    <w:p>
      <w:pPr>
        <w:pStyle w:val="BodyText"/>
        <w:spacing w:line="655" w:lineRule="auto"/>
        <w:ind w:left="1155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line="205" w:lineRule="exact"/>
        <w:ind w:left="1155"/>
      </w:pP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61"/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381" w:lineRule="auto"/>
        <w:ind w:left="579" w:right="435"/>
      </w:pPr>
      <w:r>
        <w:rPr>
          <w:color w:val="FFFFFF"/>
          <w:w w:val="125"/>
        </w:rPr>
        <w:t>Forklift training Inventory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movement OSHA regulations Safety audits</w:t>
      </w:r>
    </w:p>
    <w:p>
      <w:pPr>
        <w:pStyle w:val="BodyText"/>
        <w:spacing w:line="376" w:lineRule="auto"/>
        <w:ind w:left="579" w:right="1"/>
      </w:pPr>
      <w:r>
        <w:rPr>
          <w:color w:val="FFFFFF"/>
          <w:w w:val="125"/>
        </w:rPr>
        <w:t>Team instruction Warehouse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flow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design Workplace safety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25A6FF"/>
          <w:sz w:val="15"/>
        </w:rPr>
        <w:t>A</w:t>
      </w:r>
      <w:r>
        <w:rPr>
          <w:rFonts w:ascii="Arial"/>
          <w:b/>
          <w:color w:val="25A6FF"/>
          <w:spacing w:val="-6"/>
          <w:sz w:val="15"/>
        </w:rPr>
        <w:t> </w:t>
      </w:r>
      <w:r>
        <w:rPr>
          <w:rFonts w:ascii="Arial"/>
          <w:b/>
          <w:color w:val="25A6FF"/>
          <w:sz w:val="15"/>
        </w:rPr>
        <w:t>B</w:t>
      </w:r>
      <w:r>
        <w:rPr>
          <w:rFonts w:ascii="Arial"/>
          <w:b/>
          <w:color w:val="25A6FF"/>
          <w:spacing w:val="-6"/>
          <w:sz w:val="15"/>
        </w:rPr>
        <w:t> </w:t>
      </w:r>
      <w:r>
        <w:rPr>
          <w:rFonts w:ascii="Arial"/>
          <w:b/>
          <w:color w:val="25A6FF"/>
          <w:sz w:val="15"/>
        </w:rPr>
        <w:t>O</w:t>
      </w:r>
      <w:r>
        <w:rPr>
          <w:rFonts w:ascii="Arial"/>
          <w:b/>
          <w:color w:val="25A6FF"/>
          <w:spacing w:val="-6"/>
          <w:sz w:val="15"/>
        </w:rPr>
        <w:t> </w:t>
      </w:r>
      <w:r>
        <w:rPr>
          <w:rFonts w:ascii="Arial"/>
          <w:b/>
          <w:color w:val="25A6FF"/>
          <w:sz w:val="15"/>
        </w:rPr>
        <w:t>U</w:t>
      </w:r>
      <w:r>
        <w:rPr>
          <w:rFonts w:ascii="Arial"/>
          <w:b/>
          <w:color w:val="25A6FF"/>
          <w:spacing w:val="-6"/>
          <w:sz w:val="15"/>
        </w:rPr>
        <w:t> </w:t>
      </w:r>
      <w:r>
        <w:rPr>
          <w:rFonts w:ascii="Arial"/>
          <w:b/>
          <w:color w:val="25A6FF"/>
          <w:sz w:val="15"/>
        </w:rPr>
        <w:t>T</w:t>
      </w:r>
      <w:r>
        <w:rPr>
          <w:rFonts w:ascii="Arial"/>
          <w:b/>
          <w:color w:val="25A6FF"/>
          <w:spacing w:val="65"/>
          <w:sz w:val="15"/>
        </w:rPr>
        <w:t> </w:t>
      </w:r>
      <w:r>
        <w:rPr>
          <w:rFonts w:ascii="Arial"/>
          <w:b/>
          <w:color w:val="25A6FF"/>
          <w:sz w:val="15"/>
        </w:rPr>
        <w:t>M</w:t>
      </w:r>
      <w:r>
        <w:rPr>
          <w:rFonts w:ascii="Arial"/>
          <w:b/>
          <w:color w:val="25A6FF"/>
          <w:spacing w:val="-6"/>
          <w:sz w:val="15"/>
        </w:rPr>
        <w:t> </w:t>
      </w:r>
      <w:r>
        <w:rPr>
          <w:rFonts w:ascii="Arial"/>
          <w:b/>
          <w:color w:val="25A6FF"/>
          <w:spacing w:val="-10"/>
          <w:sz w:val="15"/>
        </w:rPr>
        <w:t>E</w:t>
      </w:r>
    </w:p>
    <w:p>
      <w:pPr>
        <w:pStyle w:val="Heading1"/>
        <w:spacing w:before="117"/>
      </w:pPr>
      <w:r>
        <w:rPr/>
        <w:t>Certified</w:t>
      </w:r>
      <w:r>
        <w:rPr>
          <w:spacing w:val="-10"/>
        </w:rPr>
        <w:t> </w:t>
      </w:r>
      <w:r>
        <w:rPr/>
        <w:t>Forklift</w:t>
      </w:r>
      <w:r>
        <w:rPr>
          <w:spacing w:val="-10"/>
        </w:rPr>
        <w:t> </w:t>
      </w:r>
      <w:r>
        <w:rPr/>
        <w:t>Operator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Warehouse</w:t>
      </w:r>
      <w:r>
        <w:rPr>
          <w:spacing w:val="-9"/>
        </w:rPr>
        <w:t> </w:t>
      </w:r>
      <w:r>
        <w:rPr>
          <w:spacing w:val="-2"/>
        </w:rPr>
        <w:t>Trainer</w:t>
      </w:r>
    </w:p>
    <w:p>
      <w:pPr>
        <w:pStyle w:val="BodyText"/>
        <w:spacing w:line="278" w:lineRule="auto" w:before="136"/>
        <w:ind w:left="95" w:right="143"/>
      </w:pPr>
      <w:r>
        <w:rPr>
          <w:w w:val="125"/>
        </w:rPr>
        <w:t>Experienced Forklift Operator with 12 years in large distribution centers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4</w:t>
      </w:r>
      <w:r>
        <w:rPr>
          <w:spacing w:val="40"/>
          <w:w w:val="125"/>
        </w:rPr>
        <w:t> </w:t>
      </w:r>
      <w:r>
        <w:rPr>
          <w:w w:val="125"/>
        </w:rPr>
        <w:t>years</w:t>
      </w:r>
      <w:r>
        <w:rPr>
          <w:spacing w:val="40"/>
          <w:w w:val="125"/>
        </w:rPr>
        <w:t> </w:t>
      </w:r>
      <w:r>
        <w:rPr>
          <w:w w:val="125"/>
        </w:rPr>
        <w:t>training</w:t>
      </w:r>
      <w:r>
        <w:rPr>
          <w:spacing w:val="40"/>
          <w:w w:val="125"/>
        </w:rPr>
        <w:t> </w:t>
      </w:r>
      <w:r>
        <w:rPr>
          <w:w w:val="125"/>
        </w:rPr>
        <w:t>new</w:t>
      </w:r>
      <w:r>
        <w:rPr>
          <w:spacing w:val="40"/>
          <w:w w:val="125"/>
        </w:rPr>
        <w:t> </w:t>
      </w:r>
      <w:r>
        <w:rPr>
          <w:w w:val="125"/>
        </w:rPr>
        <w:t>equipment</w:t>
      </w:r>
      <w:r>
        <w:rPr>
          <w:spacing w:val="40"/>
          <w:w w:val="125"/>
        </w:rPr>
        <w:t> </w:t>
      </w:r>
      <w:r>
        <w:rPr>
          <w:w w:val="125"/>
        </w:rPr>
        <w:t>operators.</w:t>
      </w:r>
      <w:r>
        <w:rPr>
          <w:spacing w:val="40"/>
          <w:w w:val="125"/>
        </w:rPr>
        <w:t> </w:t>
      </w:r>
      <w:r>
        <w:rPr>
          <w:w w:val="125"/>
        </w:rPr>
        <w:t>Expert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OSHA-compliant operation, inventory flow, and warehouse efficiency improvements.</w:t>
      </w:r>
      <w:r>
        <w:rPr>
          <w:spacing w:val="40"/>
          <w:w w:val="125"/>
        </w:rPr>
        <w:t> </w:t>
      </w:r>
      <w:r>
        <w:rPr>
          <w:w w:val="125"/>
        </w:rPr>
        <w:t>Known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safety-first</w:t>
      </w:r>
      <w:r>
        <w:rPr>
          <w:spacing w:val="40"/>
          <w:w w:val="125"/>
        </w:rPr>
        <w:t> </w:t>
      </w:r>
      <w:r>
        <w:rPr>
          <w:w w:val="125"/>
        </w:rPr>
        <w:t>leadership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mentoring.</w:t>
      </w:r>
    </w:p>
    <w:p>
      <w:pPr>
        <w:pStyle w:val="BodyText"/>
        <w:spacing w:before="51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5A6FF"/>
          <w:sz w:val="15"/>
        </w:rPr>
        <w:t>P</w:t>
      </w:r>
      <w:r>
        <w:rPr>
          <w:rFonts w:ascii="Arial"/>
          <w:b/>
          <w:color w:val="25A6FF"/>
          <w:spacing w:val="-11"/>
          <w:sz w:val="15"/>
        </w:rPr>
        <w:t> </w:t>
      </w:r>
      <w:r>
        <w:rPr>
          <w:rFonts w:ascii="Arial"/>
          <w:b/>
          <w:color w:val="25A6FF"/>
          <w:sz w:val="15"/>
        </w:rPr>
        <w:t>R</w:t>
      </w:r>
      <w:r>
        <w:rPr>
          <w:rFonts w:ascii="Arial"/>
          <w:b/>
          <w:color w:val="25A6FF"/>
          <w:spacing w:val="-10"/>
          <w:sz w:val="15"/>
        </w:rPr>
        <w:t> </w:t>
      </w:r>
      <w:r>
        <w:rPr>
          <w:rFonts w:ascii="Arial"/>
          <w:b/>
          <w:color w:val="25A6FF"/>
          <w:sz w:val="15"/>
        </w:rPr>
        <w:t>O</w:t>
      </w:r>
      <w:r>
        <w:rPr>
          <w:rFonts w:ascii="Arial"/>
          <w:b/>
          <w:color w:val="25A6FF"/>
          <w:spacing w:val="-11"/>
          <w:sz w:val="15"/>
        </w:rPr>
        <w:t> </w:t>
      </w:r>
      <w:r>
        <w:rPr>
          <w:rFonts w:ascii="Arial"/>
          <w:b/>
          <w:color w:val="25A6FF"/>
          <w:sz w:val="15"/>
        </w:rPr>
        <w:t>F</w:t>
      </w:r>
      <w:r>
        <w:rPr>
          <w:rFonts w:ascii="Arial"/>
          <w:b/>
          <w:color w:val="25A6FF"/>
          <w:spacing w:val="-10"/>
          <w:sz w:val="15"/>
        </w:rPr>
        <w:t> </w:t>
      </w:r>
      <w:r>
        <w:rPr>
          <w:rFonts w:ascii="Arial"/>
          <w:b/>
          <w:color w:val="25A6FF"/>
          <w:sz w:val="15"/>
        </w:rPr>
        <w:t>E</w:t>
      </w:r>
      <w:r>
        <w:rPr>
          <w:rFonts w:ascii="Arial"/>
          <w:b/>
          <w:color w:val="25A6FF"/>
          <w:spacing w:val="-10"/>
          <w:sz w:val="15"/>
        </w:rPr>
        <w:t> </w:t>
      </w:r>
      <w:r>
        <w:rPr>
          <w:rFonts w:ascii="Arial"/>
          <w:b/>
          <w:color w:val="25A6FF"/>
          <w:sz w:val="15"/>
        </w:rPr>
        <w:t>S</w:t>
      </w:r>
      <w:r>
        <w:rPr>
          <w:rFonts w:ascii="Arial"/>
          <w:b/>
          <w:color w:val="25A6FF"/>
          <w:spacing w:val="-10"/>
          <w:sz w:val="15"/>
        </w:rPr>
        <w:t> </w:t>
      </w:r>
      <w:r>
        <w:rPr>
          <w:rFonts w:ascii="Arial"/>
          <w:b/>
          <w:color w:val="25A6FF"/>
          <w:sz w:val="15"/>
        </w:rPr>
        <w:t>S</w:t>
      </w:r>
      <w:r>
        <w:rPr>
          <w:rFonts w:ascii="Arial"/>
          <w:b/>
          <w:color w:val="25A6FF"/>
          <w:spacing w:val="-9"/>
          <w:sz w:val="15"/>
        </w:rPr>
        <w:t> </w:t>
      </w:r>
      <w:r>
        <w:rPr>
          <w:rFonts w:ascii="Arial"/>
          <w:b/>
          <w:color w:val="25A6FF"/>
          <w:sz w:val="15"/>
        </w:rPr>
        <w:t>I</w:t>
      </w:r>
      <w:r>
        <w:rPr>
          <w:rFonts w:ascii="Arial"/>
          <w:b/>
          <w:color w:val="25A6FF"/>
          <w:spacing w:val="-10"/>
          <w:sz w:val="15"/>
        </w:rPr>
        <w:t> </w:t>
      </w:r>
      <w:r>
        <w:rPr>
          <w:rFonts w:ascii="Arial"/>
          <w:b/>
          <w:color w:val="25A6FF"/>
          <w:sz w:val="15"/>
        </w:rPr>
        <w:t>O</w:t>
      </w:r>
      <w:r>
        <w:rPr>
          <w:rFonts w:ascii="Arial"/>
          <w:b/>
          <w:color w:val="25A6FF"/>
          <w:spacing w:val="-10"/>
          <w:sz w:val="15"/>
        </w:rPr>
        <w:t> </w:t>
      </w:r>
      <w:r>
        <w:rPr>
          <w:rFonts w:ascii="Arial"/>
          <w:b/>
          <w:color w:val="25A6FF"/>
          <w:sz w:val="15"/>
        </w:rPr>
        <w:t>N</w:t>
      </w:r>
      <w:r>
        <w:rPr>
          <w:rFonts w:ascii="Arial"/>
          <w:b/>
          <w:color w:val="25A6FF"/>
          <w:spacing w:val="-9"/>
          <w:sz w:val="15"/>
        </w:rPr>
        <w:t> </w:t>
      </w:r>
      <w:r>
        <w:rPr>
          <w:rFonts w:ascii="Arial"/>
          <w:b/>
          <w:color w:val="25A6FF"/>
          <w:sz w:val="15"/>
        </w:rPr>
        <w:t>A</w:t>
      </w:r>
      <w:r>
        <w:rPr>
          <w:rFonts w:ascii="Arial"/>
          <w:b/>
          <w:color w:val="25A6FF"/>
          <w:spacing w:val="-10"/>
          <w:sz w:val="15"/>
        </w:rPr>
        <w:t> </w:t>
      </w:r>
      <w:r>
        <w:rPr>
          <w:rFonts w:ascii="Arial"/>
          <w:b/>
          <w:color w:val="25A6FF"/>
          <w:sz w:val="15"/>
        </w:rPr>
        <w:t>L</w:t>
      </w:r>
      <w:r>
        <w:rPr>
          <w:rFonts w:ascii="Arial"/>
          <w:b/>
          <w:color w:val="25A6FF"/>
          <w:spacing w:val="53"/>
          <w:sz w:val="15"/>
        </w:rPr>
        <w:t> </w:t>
      </w:r>
      <w:r>
        <w:rPr>
          <w:rFonts w:ascii="Arial"/>
          <w:b/>
          <w:color w:val="25A6FF"/>
          <w:sz w:val="15"/>
        </w:rPr>
        <w:t>E</w:t>
      </w:r>
      <w:r>
        <w:rPr>
          <w:rFonts w:ascii="Arial"/>
          <w:b/>
          <w:color w:val="25A6FF"/>
          <w:spacing w:val="-7"/>
          <w:sz w:val="15"/>
        </w:rPr>
        <w:t> </w:t>
      </w:r>
      <w:r>
        <w:rPr>
          <w:rFonts w:ascii="Arial"/>
          <w:b/>
          <w:color w:val="25A6FF"/>
          <w:sz w:val="15"/>
        </w:rPr>
        <w:t>X</w:t>
      </w:r>
      <w:r>
        <w:rPr>
          <w:rFonts w:ascii="Arial"/>
          <w:b/>
          <w:color w:val="25A6FF"/>
          <w:spacing w:val="-10"/>
          <w:sz w:val="15"/>
        </w:rPr>
        <w:t> </w:t>
      </w:r>
      <w:r>
        <w:rPr>
          <w:rFonts w:ascii="Arial"/>
          <w:b/>
          <w:color w:val="25A6FF"/>
          <w:sz w:val="15"/>
        </w:rPr>
        <w:t>P</w:t>
      </w:r>
      <w:r>
        <w:rPr>
          <w:rFonts w:ascii="Arial"/>
          <w:b/>
          <w:color w:val="25A6FF"/>
          <w:spacing w:val="-10"/>
          <w:sz w:val="15"/>
        </w:rPr>
        <w:t> </w:t>
      </w:r>
      <w:r>
        <w:rPr>
          <w:rFonts w:ascii="Arial"/>
          <w:b/>
          <w:color w:val="25A6FF"/>
          <w:sz w:val="15"/>
        </w:rPr>
        <w:t>E</w:t>
      </w:r>
      <w:r>
        <w:rPr>
          <w:rFonts w:ascii="Arial"/>
          <w:b/>
          <w:color w:val="25A6FF"/>
          <w:spacing w:val="-10"/>
          <w:sz w:val="15"/>
        </w:rPr>
        <w:t> </w:t>
      </w:r>
      <w:r>
        <w:rPr>
          <w:rFonts w:ascii="Arial"/>
          <w:b/>
          <w:color w:val="25A6FF"/>
          <w:sz w:val="15"/>
        </w:rPr>
        <w:t>R</w:t>
      </w:r>
      <w:r>
        <w:rPr>
          <w:rFonts w:ascii="Arial"/>
          <w:b/>
          <w:color w:val="25A6FF"/>
          <w:spacing w:val="-9"/>
          <w:sz w:val="15"/>
        </w:rPr>
        <w:t> </w:t>
      </w:r>
      <w:r>
        <w:rPr>
          <w:rFonts w:ascii="Arial"/>
          <w:b/>
          <w:color w:val="25A6FF"/>
          <w:sz w:val="15"/>
        </w:rPr>
        <w:t>I</w:t>
      </w:r>
      <w:r>
        <w:rPr>
          <w:rFonts w:ascii="Arial"/>
          <w:b/>
          <w:color w:val="25A6FF"/>
          <w:spacing w:val="-10"/>
          <w:sz w:val="15"/>
        </w:rPr>
        <w:t> </w:t>
      </w:r>
      <w:r>
        <w:rPr>
          <w:rFonts w:ascii="Arial"/>
          <w:b/>
          <w:color w:val="25A6FF"/>
          <w:sz w:val="15"/>
        </w:rPr>
        <w:t>E</w:t>
      </w:r>
      <w:r>
        <w:rPr>
          <w:rFonts w:ascii="Arial"/>
          <w:b/>
          <w:color w:val="25A6FF"/>
          <w:spacing w:val="-10"/>
          <w:sz w:val="15"/>
        </w:rPr>
        <w:t> </w:t>
      </w:r>
      <w:r>
        <w:rPr>
          <w:rFonts w:ascii="Arial"/>
          <w:b/>
          <w:color w:val="25A6FF"/>
          <w:sz w:val="15"/>
        </w:rPr>
        <w:t>N</w:t>
      </w:r>
      <w:r>
        <w:rPr>
          <w:rFonts w:ascii="Arial"/>
          <w:b/>
          <w:color w:val="25A6FF"/>
          <w:spacing w:val="-9"/>
          <w:sz w:val="15"/>
        </w:rPr>
        <w:t> </w:t>
      </w:r>
      <w:r>
        <w:rPr>
          <w:rFonts w:ascii="Arial"/>
          <w:b/>
          <w:color w:val="25A6FF"/>
          <w:sz w:val="15"/>
        </w:rPr>
        <w:t>C</w:t>
      </w:r>
      <w:r>
        <w:rPr>
          <w:rFonts w:ascii="Arial"/>
          <w:b/>
          <w:color w:val="25A6FF"/>
          <w:spacing w:val="-10"/>
          <w:sz w:val="15"/>
        </w:rPr>
        <w:t> E</w:t>
      </w:r>
    </w:p>
    <w:p>
      <w:pPr>
        <w:pStyle w:val="BodyText"/>
        <w:spacing w:before="147"/>
        <w:ind w:left="95"/>
        <w:rPr>
          <w:rFonts w:ascii="Microsoft Sans Serif"/>
        </w:rPr>
      </w:pPr>
      <w:r>
        <w:rPr>
          <w:rFonts w:ascii="Microsoft Sans Serif"/>
          <w:w w:val="105"/>
        </w:rPr>
        <w:t>Forklift</w:t>
      </w:r>
      <w:r>
        <w:rPr>
          <w:rFonts w:ascii="Microsoft Sans Serif"/>
          <w:spacing w:val="17"/>
          <w:w w:val="105"/>
        </w:rPr>
        <w:t> </w:t>
      </w:r>
      <w:r>
        <w:rPr>
          <w:rFonts w:ascii="Microsoft Sans Serif"/>
          <w:w w:val="105"/>
        </w:rPr>
        <w:t>Trainer</w:t>
      </w:r>
      <w:r>
        <w:rPr>
          <w:rFonts w:ascii="Microsoft Sans Serif"/>
          <w:spacing w:val="17"/>
          <w:w w:val="105"/>
        </w:rPr>
        <w:t> </w:t>
      </w:r>
      <w:r>
        <w:rPr>
          <w:rFonts w:ascii="Microsoft Sans Serif"/>
          <w:w w:val="105"/>
        </w:rPr>
        <w:t>&amp;</w:t>
      </w:r>
      <w:r>
        <w:rPr>
          <w:rFonts w:ascii="Microsoft Sans Serif"/>
          <w:spacing w:val="18"/>
          <w:w w:val="105"/>
        </w:rPr>
        <w:t> </w:t>
      </w:r>
      <w:r>
        <w:rPr>
          <w:rFonts w:ascii="Microsoft Sans Serif"/>
          <w:w w:val="105"/>
        </w:rPr>
        <w:t>Operator</w:t>
      </w:r>
      <w:r>
        <w:rPr>
          <w:rFonts w:ascii="Microsoft Sans Serif"/>
          <w:spacing w:val="17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8"/>
          <w:w w:val="105"/>
        </w:rPr>
        <w:t> </w:t>
      </w:r>
      <w:r>
        <w:rPr>
          <w:rFonts w:ascii="Microsoft Sans Serif"/>
          <w:w w:val="105"/>
        </w:rPr>
        <w:t>February</w:t>
      </w:r>
      <w:r>
        <w:rPr>
          <w:rFonts w:ascii="Microsoft Sans Serif"/>
          <w:spacing w:val="17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1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7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1"/>
        <w:ind w:left="95"/>
      </w:pPr>
      <w:r>
        <w:rPr>
          <w:w w:val="125"/>
        </w:rPr>
        <w:t>Vanguard</w:t>
      </w:r>
      <w:r>
        <w:rPr>
          <w:spacing w:val="35"/>
          <w:w w:val="125"/>
        </w:rPr>
        <w:t> </w:t>
      </w:r>
      <w:r>
        <w:rPr>
          <w:w w:val="125"/>
        </w:rPr>
        <w:t>Warehouse</w:t>
      </w:r>
      <w:r>
        <w:rPr>
          <w:spacing w:val="35"/>
          <w:w w:val="125"/>
        </w:rPr>
        <w:t> </w:t>
      </w:r>
      <w:r>
        <w:rPr>
          <w:w w:val="125"/>
        </w:rPr>
        <w:t>Solutions,</w:t>
      </w:r>
      <w:r>
        <w:rPr>
          <w:spacing w:val="35"/>
          <w:w w:val="125"/>
        </w:rPr>
        <w:t> </w:t>
      </w:r>
      <w:r>
        <w:rPr>
          <w:w w:val="125"/>
        </w:rPr>
        <w:t>Minneapolis,</w:t>
      </w:r>
      <w:r>
        <w:rPr>
          <w:spacing w:val="36"/>
          <w:w w:val="125"/>
        </w:rPr>
        <w:t> </w:t>
      </w:r>
      <w:r>
        <w:rPr>
          <w:spacing w:val="-5"/>
          <w:w w:val="125"/>
        </w:rPr>
        <w:t>MN</w:t>
      </w:r>
    </w:p>
    <w:p>
      <w:pPr>
        <w:pStyle w:val="BodyText"/>
        <w:spacing w:line="278" w:lineRule="auto" w:before="140"/>
        <w:ind w:left="653" w:right="143"/>
      </w:pPr>
      <w:r>
        <w:rPr>
          <w:w w:val="125"/>
        </w:rPr>
        <w:t>Trained 30+ forklift operators on OSHA-certified safety practices</w:t>
      </w:r>
      <w:r>
        <w:rPr>
          <w:spacing w:val="40"/>
          <w:w w:val="125"/>
        </w:rPr>
        <w:t> </w:t>
      </w:r>
      <w:r>
        <w:rPr>
          <w:w w:val="125"/>
        </w:rPr>
        <w:t>and daily inspection routines</w:t>
      </w:r>
    </w:p>
    <w:p>
      <w:pPr>
        <w:pStyle w:val="BodyText"/>
        <w:spacing w:line="278" w:lineRule="auto" w:before="91"/>
        <w:ind w:left="653"/>
      </w:pPr>
      <w:r>
        <w:rPr>
          <w:w w:val="130"/>
        </w:rPr>
        <w:t>Reduced incident rates by 45% by introducing a pre-shift safety </w:t>
      </w:r>
      <w:r>
        <w:rPr>
          <w:spacing w:val="-2"/>
          <w:w w:val="130"/>
        </w:rPr>
        <w:t>checklist</w:t>
      </w:r>
    </w:p>
    <w:p>
      <w:pPr>
        <w:pStyle w:val="BodyText"/>
        <w:spacing w:line="278" w:lineRule="auto" w:before="90"/>
        <w:ind w:left="653"/>
      </w:pPr>
      <w:r>
        <w:rPr>
          <w:w w:val="125"/>
        </w:rPr>
        <w:t>Operated</w:t>
      </w:r>
      <w:r>
        <w:rPr>
          <w:spacing w:val="40"/>
          <w:w w:val="125"/>
        </w:rPr>
        <w:t> </w:t>
      </w:r>
      <w:r>
        <w:rPr>
          <w:w w:val="125"/>
        </w:rPr>
        <w:t>equipment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high-volume</w:t>
      </w:r>
      <w:r>
        <w:rPr>
          <w:spacing w:val="40"/>
          <w:w w:val="125"/>
        </w:rPr>
        <w:t> </w:t>
      </w:r>
      <w:r>
        <w:rPr>
          <w:w w:val="125"/>
        </w:rPr>
        <w:t>areas,</w:t>
      </w:r>
      <w:r>
        <w:rPr>
          <w:spacing w:val="40"/>
          <w:w w:val="125"/>
        </w:rPr>
        <w:t> </w:t>
      </w:r>
      <w:r>
        <w:rPr>
          <w:w w:val="125"/>
        </w:rPr>
        <w:t>supporting</w:t>
      </w:r>
      <w:r>
        <w:rPr>
          <w:spacing w:val="40"/>
          <w:w w:val="125"/>
        </w:rPr>
        <w:t> </w:t>
      </w:r>
      <w:r>
        <w:rPr>
          <w:w w:val="125"/>
        </w:rPr>
        <w:t>peak throughput of 12,000 pallets/month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  <w:w w:val="105"/>
        </w:rPr>
        <w:t>Warehouse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Operator</w:t>
      </w:r>
      <w:r>
        <w:rPr>
          <w:rFonts w:ascii="Microsoft Sans Serif"/>
          <w:spacing w:val="10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0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2013</w:t>
      </w:r>
      <w:r>
        <w:rPr>
          <w:rFonts w:ascii="Microsoft Sans Serif"/>
          <w:spacing w:val="10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0"/>
          <w:w w:val="105"/>
        </w:rPr>
        <w:t> </w:t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15"/>
        <w:ind w:left="95"/>
      </w:pPr>
      <w:r>
        <w:rPr>
          <w:w w:val="125"/>
        </w:rPr>
        <w:t>Northern</w:t>
      </w:r>
      <w:r>
        <w:rPr>
          <w:spacing w:val="32"/>
          <w:w w:val="125"/>
        </w:rPr>
        <w:t> </w:t>
      </w:r>
      <w:r>
        <w:rPr>
          <w:w w:val="125"/>
        </w:rPr>
        <w:t>Midwest</w:t>
      </w:r>
      <w:r>
        <w:rPr>
          <w:spacing w:val="33"/>
          <w:w w:val="125"/>
        </w:rPr>
        <w:t> </w:t>
      </w:r>
      <w:r>
        <w:rPr>
          <w:w w:val="125"/>
        </w:rPr>
        <w:t>Freight,</w:t>
      </w:r>
      <w:r>
        <w:rPr>
          <w:spacing w:val="33"/>
          <w:w w:val="125"/>
        </w:rPr>
        <w:t> </w:t>
      </w:r>
      <w:r>
        <w:rPr>
          <w:w w:val="125"/>
        </w:rPr>
        <w:t>Duluth,</w:t>
      </w:r>
      <w:r>
        <w:rPr>
          <w:spacing w:val="33"/>
          <w:w w:val="125"/>
        </w:rPr>
        <w:t> </w:t>
      </w:r>
      <w:r>
        <w:rPr>
          <w:spacing w:val="-5"/>
          <w:w w:val="125"/>
        </w:rPr>
        <w:t>MN</w:t>
      </w:r>
    </w:p>
    <w:p>
      <w:pPr>
        <w:pStyle w:val="BodyText"/>
        <w:spacing w:line="376" w:lineRule="auto" w:before="156"/>
        <w:ind w:left="653"/>
      </w:pPr>
      <w:r>
        <w:rPr>
          <w:w w:val="125"/>
        </w:rPr>
        <w:t>Managed day shift forklift operations and mentored junior staff</w:t>
      </w:r>
      <w:r>
        <w:rPr>
          <w:spacing w:val="40"/>
          <w:w w:val="125"/>
        </w:rPr>
        <w:t> </w:t>
      </w:r>
      <w:r>
        <w:rPr>
          <w:w w:val="125"/>
        </w:rPr>
        <w:t>Helped</w:t>
      </w:r>
      <w:r>
        <w:rPr>
          <w:spacing w:val="35"/>
          <w:w w:val="125"/>
        </w:rPr>
        <w:t> </w:t>
      </w:r>
      <w:r>
        <w:rPr>
          <w:w w:val="125"/>
        </w:rPr>
        <w:t>redesign</w:t>
      </w:r>
      <w:r>
        <w:rPr>
          <w:spacing w:val="35"/>
          <w:w w:val="125"/>
        </w:rPr>
        <w:t> </w:t>
      </w:r>
      <w:r>
        <w:rPr>
          <w:w w:val="125"/>
        </w:rPr>
        <w:t>storage</w:t>
      </w:r>
      <w:r>
        <w:rPr>
          <w:spacing w:val="35"/>
          <w:w w:val="125"/>
        </w:rPr>
        <w:t> </w:t>
      </w:r>
      <w:r>
        <w:rPr>
          <w:w w:val="125"/>
        </w:rPr>
        <w:t>layout,</w:t>
      </w:r>
      <w:r>
        <w:rPr>
          <w:spacing w:val="35"/>
          <w:w w:val="125"/>
        </w:rPr>
        <w:t> </w:t>
      </w:r>
      <w:r>
        <w:rPr>
          <w:w w:val="125"/>
        </w:rPr>
        <w:t>improving</w:t>
      </w:r>
      <w:r>
        <w:rPr>
          <w:spacing w:val="35"/>
          <w:w w:val="125"/>
        </w:rPr>
        <w:t> </w:t>
      </w:r>
      <w:r>
        <w:rPr>
          <w:w w:val="125"/>
        </w:rPr>
        <w:t>pick</w:t>
      </w:r>
      <w:r>
        <w:rPr>
          <w:spacing w:val="35"/>
          <w:w w:val="125"/>
        </w:rPr>
        <w:t> </w:t>
      </w:r>
      <w:r>
        <w:rPr>
          <w:w w:val="125"/>
        </w:rPr>
        <w:t>efficiency</w:t>
      </w:r>
      <w:r>
        <w:rPr>
          <w:spacing w:val="35"/>
          <w:w w:val="125"/>
        </w:rPr>
        <w:t> </w:t>
      </w:r>
      <w:r>
        <w:rPr>
          <w:w w:val="125"/>
        </w:rPr>
        <w:t>by</w:t>
      </w:r>
      <w:r>
        <w:rPr>
          <w:spacing w:val="35"/>
          <w:w w:val="125"/>
        </w:rPr>
        <w:t> </w:t>
      </w:r>
      <w:r>
        <w:rPr>
          <w:w w:val="125"/>
        </w:rPr>
        <w:t>25%</w:t>
      </w:r>
    </w:p>
    <w:p>
      <w:pPr>
        <w:pStyle w:val="BodyText"/>
        <w:spacing w:after="0" w:line="376" w:lineRule="auto"/>
        <w:sectPr>
          <w:type w:val="continuous"/>
          <w:pgSz w:w="11920" w:h="16860"/>
          <w:pgMar w:top="1240" w:bottom="280" w:left="425" w:right="283"/>
          <w:cols w:num="2" w:equalWidth="0">
            <w:col w:w="3163" w:space="1059"/>
            <w:col w:w="6990"/>
          </w:cols>
        </w:sectPr>
      </w:pPr>
    </w:p>
    <w:p>
      <w:pPr>
        <w:spacing w:before="163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43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438900">
                                <a:moveTo>
                                  <a:pt x="28575" y="6418834"/>
                                </a:moveTo>
                                <a:lnTo>
                                  <a:pt x="27432" y="6416053"/>
                                </a:lnTo>
                                <a:lnTo>
                                  <a:pt x="22847" y="6411468"/>
                                </a:lnTo>
                                <a:lnTo>
                                  <a:pt x="20066" y="6410312"/>
                                </a:lnTo>
                                <a:lnTo>
                                  <a:pt x="8521" y="6410312"/>
                                </a:lnTo>
                                <a:lnTo>
                                  <a:pt x="5740" y="6411468"/>
                                </a:lnTo>
                                <a:lnTo>
                                  <a:pt x="1155" y="6416053"/>
                                </a:lnTo>
                                <a:lnTo>
                                  <a:pt x="0" y="6418834"/>
                                </a:lnTo>
                                <a:lnTo>
                                  <a:pt x="0" y="6427140"/>
                                </a:lnTo>
                                <a:lnTo>
                                  <a:pt x="0" y="6430378"/>
                                </a:lnTo>
                                <a:lnTo>
                                  <a:pt x="1155" y="6433159"/>
                                </a:lnTo>
                                <a:lnTo>
                                  <a:pt x="5740" y="6437744"/>
                                </a:lnTo>
                                <a:lnTo>
                                  <a:pt x="8521" y="6438887"/>
                                </a:lnTo>
                                <a:lnTo>
                                  <a:pt x="20066" y="6438887"/>
                                </a:lnTo>
                                <a:lnTo>
                                  <a:pt x="22847" y="6437744"/>
                                </a:lnTo>
                                <a:lnTo>
                                  <a:pt x="27432" y="6433159"/>
                                </a:lnTo>
                                <a:lnTo>
                                  <a:pt x="28575" y="6430378"/>
                                </a:lnTo>
                                <a:lnTo>
                                  <a:pt x="28575" y="6418834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438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876674"/>
                            <a:ext cx="1905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790700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741"/>
                                </a:lnTo>
                                <a:lnTo>
                                  <a:pt x="939" y="1566976"/>
                                </a:lnTo>
                                <a:lnTo>
                                  <a:pt x="4660" y="1570697"/>
                                </a:lnTo>
                                <a:lnTo>
                                  <a:pt x="6896" y="1571625"/>
                                </a:lnTo>
                                <a:lnTo>
                                  <a:pt x="12166" y="1571625"/>
                                </a:lnTo>
                                <a:lnTo>
                                  <a:pt x="14401" y="1570697"/>
                                </a:lnTo>
                                <a:lnTo>
                                  <a:pt x="18122" y="1566976"/>
                                </a:lnTo>
                                <a:lnTo>
                                  <a:pt x="19050" y="1564741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25a6ff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10140" id="docshape14" coordorigin="705,0" coordsize="11214,10140" path="m750,10108l748,10104,741,10097,737,10095,718,10095,714,10097,707,10104,705,10108,705,10121,705,10127,707,10131,714,10138,718,10140,737,10140,741,10138,748,10131,750,10127,750,10108x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5009;top:6105;width:30;height:2820" id="docshape16" coordorigin="5010,6105" coordsize="30,2820" path="m5040,8891l5039,8887,5033,8881,5029,8880,5021,8880,5017,8881,5011,8887,5010,8891,5010,8910,5010,8914,5011,8918,5017,8924,5021,8925,5029,8925,5033,8924,5039,8918,5040,8914,5040,8891xm5040,8546l5039,8542,5033,8536,5029,8535,5021,8535,5017,8536,5011,8542,5010,8546,5010,8565,5010,8569,5011,8573,5017,8579,5021,8580,5029,8580,5033,8579,5039,8573,5040,8569,5040,8546xm5040,7316l5039,7312,5033,7306,5029,7305,5021,7305,5017,7306,5011,7312,5010,7316,5010,7324,5011,7328,5017,7334,5021,7335,5029,7335,5033,7334,5039,7328,5040,7324,5040,7320,5040,7316xm5040,6716l5039,6712,5033,6706,5029,6705,5021,6705,5017,6706,5011,6712,5010,6716,5010,6724,5011,6728,5017,6734,5021,6735,5029,6735,5033,6734,5039,6728,5040,6724,5040,6720,5040,6716xm5040,6116l5039,6112,5033,6106,5029,6105,5021,6105,5017,6106,5011,6112,5010,6116,5010,6124,5011,6128,5017,6134,5021,6135,5029,6135,5033,6134,5039,6128,5040,6124,5040,6120,5040,61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50"/>
        <w:rPr>
          <w:rFonts w:ascii="Arial"/>
          <w:b/>
          <w:sz w:val="15"/>
        </w:rPr>
      </w:pPr>
    </w:p>
    <w:p>
      <w:pPr>
        <w:pStyle w:val="Heading1"/>
        <w:ind w:left="281"/>
      </w:pPr>
      <w:r>
        <w:rPr>
          <w:color w:val="FFFFFF"/>
          <w:spacing w:val="-4"/>
        </w:rPr>
        <w:t>High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School Diploma</w:t>
      </w:r>
    </w:p>
    <w:p>
      <w:pPr>
        <w:pStyle w:val="BodyText"/>
        <w:spacing w:line="278" w:lineRule="auto" w:before="46"/>
        <w:ind w:left="281" w:right="7406"/>
      </w:pPr>
      <w:r>
        <w:rPr>
          <w:color w:val="FFFFFF"/>
          <w:w w:val="125"/>
        </w:rPr>
        <w:t>Superior Technical High School, Duluth, MN</w:t>
      </w:r>
    </w:p>
    <w:p>
      <w:pPr>
        <w:pStyle w:val="BodyText"/>
        <w:ind w:left="281"/>
      </w:pPr>
      <w:r>
        <w:rPr>
          <w:color w:val="FFFFFF"/>
          <w:w w:val="125"/>
        </w:rPr>
        <w:t>June</w:t>
      </w:r>
      <w:r>
        <w:rPr>
          <w:color w:val="FFFFFF"/>
          <w:spacing w:val="28"/>
          <w:w w:val="125"/>
        </w:rPr>
        <w:t> </w:t>
      </w:r>
      <w:r>
        <w:rPr>
          <w:color w:val="FFFFFF"/>
          <w:spacing w:val="-4"/>
          <w:w w:val="125"/>
        </w:rPr>
        <w:t>2012</w:t>
      </w:r>
    </w:p>
    <w:sectPr>
      <w:type w:val="continuous"/>
      <w:pgSz w:w="11920" w:h="16860"/>
      <w:pgMar w:top="12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2026-02-28T00:36:26Z</dcterms:created>
  <dcterms:modified xsi:type="dcterms:W3CDTF">2026-02-28T00:36:26Z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