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379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FFFFFF"/>
          <w:spacing w:val="9"/>
          <w:sz w:val="70"/>
        </w:rPr>
        <w:t>Devon</w:t>
      </w:r>
      <w:r>
        <w:rPr>
          <w:rFonts w:ascii="Arial"/>
          <w:b/>
          <w:color w:val="FFFFFF"/>
          <w:spacing w:val="27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Young</w:t>
      </w:r>
    </w:p>
    <w:p>
      <w:pPr>
        <w:spacing w:before="162"/>
        <w:ind w:left="379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FFFFFF"/>
          <w:sz w:val="18"/>
        </w:rPr>
        <w:t>Leasing</w:t>
      </w:r>
      <w:r>
        <w:rPr>
          <w:rFonts w:ascii="Arial"/>
          <w:b/>
          <w:color w:val="FFFFFF"/>
          <w:spacing w:val="6"/>
          <w:sz w:val="18"/>
        </w:rPr>
        <w:t> </w:t>
      </w:r>
      <w:r>
        <w:rPr>
          <w:rFonts w:ascii="Arial"/>
          <w:b/>
          <w:color w:val="FFFFFF"/>
          <w:sz w:val="18"/>
        </w:rPr>
        <w:t>and</w:t>
      </w:r>
      <w:r>
        <w:rPr>
          <w:rFonts w:ascii="Arial"/>
          <w:b/>
          <w:color w:val="FFFFFF"/>
          <w:spacing w:val="6"/>
          <w:sz w:val="18"/>
        </w:rPr>
        <w:t> </w:t>
      </w:r>
      <w:r>
        <w:rPr>
          <w:rFonts w:ascii="Arial"/>
          <w:b/>
          <w:color w:val="FFFFFF"/>
          <w:sz w:val="18"/>
        </w:rPr>
        <w:t>Property</w:t>
      </w:r>
      <w:r>
        <w:rPr>
          <w:rFonts w:ascii="Arial"/>
          <w:b/>
          <w:color w:val="FFFFFF"/>
          <w:spacing w:val="7"/>
          <w:sz w:val="18"/>
        </w:rPr>
        <w:t> </w:t>
      </w:r>
      <w:r>
        <w:rPr>
          <w:rFonts w:ascii="Arial"/>
          <w:b/>
          <w:color w:val="FFFFFF"/>
          <w:spacing w:val="-2"/>
          <w:sz w:val="18"/>
        </w:rPr>
        <w:t>Manager</w:t>
      </w:r>
    </w:p>
    <w:p>
      <w:pPr>
        <w:spacing w:before="172"/>
        <w:ind w:left="379" w:right="0" w:firstLine="0"/>
        <w:jc w:val="left"/>
        <w:rPr>
          <w:b/>
          <w:sz w:val="16"/>
        </w:rPr>
      </w:pPr>
      <w:r>
        <w:rPr>
          <w:b/>
          <w:color w:val="FFFFFF"/>
          <w:sz w:val="16"/>
        </w:rPr>
        <w:t>Leasing</w:t>
      </w:r>
      <w:r>
        <w:rPr>
          <w:b/>
          <w:color w:val="FFFFFF"/>
          <w:spacing w:val="21"/>
          <w:sz w:val="16"/>
        </w:rPr>
        <w:t> </w:t>
      </w:r>
      <w:r>
        <w:rPr>
          <w:b/>
          <w:color w:val="FFFFFF"/>
          <w:sz w:val="16"/>
        </w:rPr>
        <w:t>and</w:t>
      </w:r>
      <w:r>
        <w:rPr>
          <w:b/>
          <w:color w:val="FFFFFF"/>
          <w:spacing w:val="21"/>
          <w:sz w:val="16"/>
        </w:rPr>
        <w:t> </w:t>
      </w:r>
      <w:r>
        <w:rPr>
          <w:b/>
          <w:color w:val="FFFFFF"/>
          <w:sz w:val="16"/>
        </w:rPr>
        <w:t>Property</w:t>
      </w:r>
      <w:r>
        <w:rPr>
          <w:b/>
          <w:color w:val="FFFFFF"/>
          <w:spacing w:val="21"/>
          <w:sz w:val="16"/>
        </w:rPr>
        <w:t> </w:t>
      </w:r>
      <w:r>
        <w:rPr>
          <w:b/>
          <w:color w:val="FFFFFF"/>
          <w:sz w:val="16"/>
        </w:rPr>
        <w:t>Manager</w:t>
      </w:r>
      <w:r>
        <w:rPr>
          <w:b/>
          <w:color w:val="FFFFFF"/>
          <w:spacing w:val="21"/>
          <w:sz w:val="16"/>
        </w:rPr>
        <w:t> </w:t>
      </w:r>
      <w:r>
        <w:rPr>
          <w:b/>
          <w:color w:val="FFFFFF"/>
          <w:sz w:val="16"/>
        </w:rPr>
        <w:t>with</w:t>
      </w:r>
      <w:r>
        <w:rPr>
          <w:b/>
          <w:color w:val="FFFFFF"/>
          <w:spacing w:val="21"/>
          <w:sz w:val="16"/>
        </w:rPr>
        <w:t> </w:t>
      </w:r>
      <w:r>
        <w:rPr>
          <w:b/>
          <w:color w:val="FFFFFF"/>
          <w:sz w:val="16"/>
        </w:rPr>
        <w:t>dual</w:t>
      </w:r>
      <w:r>
        <w:rPr>
          <w:b/>
          <w:color w:val="FFFFFF"/>
          <w:spacing w:val="21"/>
          <w:sz w:val="16"/>
        </w:rPr>
        <w:t> </w:t>
      </w:r>
      <w:r>
        <w:rPr>
          <w:b/>
          <w:color w:val="FFFFFF"/>
          <w:sz w:val="16"/>
        </w:rPr>
        <w:t>expertise</w:t>
      </w:r>
      <w:r>
        <w:rPr>
          <w:b/>
          <w:color w:val="FFFFFF"/>
          <w:spacing w:val="21"/>
          <w:sz w:val="16"/>
        </w:rPr>
        <w:t> </w:t>
      </w:r>
      <w:r>
        <w:rPr>
          <w:b/>
          <w:color w:val="FFFFFF"/>
          <w:sz w:val="16"/>
        </w:rPr>
        <w:t>in</w:t>
      </w:r>
      <w:r>
        <w:rPr>
          <w:b/>
          <w:color w:val="FFFFFF"/>
          <w:spacing w:val="21"/>
          <w:sz w:val="16"/>
        </w:rPr>
        <w:t> </w:t>
      </w:r>
      <w:r>
        <w:rPr>
          <w:b/>
          <w:color w:val="FFFFFF"/>
          <w:sz w:val="16"/>
        </w:rPr>
        <w:t>resident</w:t>
      </w:r>
      <w:r>
        <w:rPr>
          <w:b/>
          <w:color w:val="FFFFFF"/>
          <w:spacing w:val="21"/>
          <w:sz w:val="16"/>
        </w:rPr>
        <w:t> </w:t>
      </w:r>
      <w:r>
        <w:rPr>
          <w:b/>
          <w:color w:val="FFFFFF"/>
          <w:sz w:val="16"/>
        </w:rPr>
        <w:t>acquisition</w:t>
      </w:r>
      <w:r>
        <w:rPr>
          <w:b/>
          <w:color w:val="FFFFFF"/>
          <w:spacing w:val="21"/>
          <w:sz w:val="16"/>
        </w:rPr>
        <w:t> </w:t>
      </w:r>
      <w:r>
        <w:rPr>
          <w:b/>
          <w:color w:val="FFFFFF"/>
          <w:sz w:val="16"/>
        </w:rPr>
        <w:t>and</w:t>
      </w:r>
      <w:r>
        <w:rPr>
          <w:b/>
          <w:color w:val="FFFFFF"/>
          <w:spacing w:val="21"/>
          <w:sz w:val="16"/>
        </w:rPr>
        <w:t> </w:t>
      </w:r>
      <w:r>
        <w:rPr>
          <w:b/>
          <w:color w:val="FFFFFF"/>
          <w:sz w:val="16"/>
        </w:rPr>
        <w:t>day-to-day</w:t>
      </w:r>
      <w:r>
        <w:rPr>
          <w:b/>
          <w:color w:val="FFFFFF"/>
          <w:spacing w:val="21"/>
          <w:sz w:val="16"/>
        </w:rPr>
        <w:t> </w:t>
      </w:r>
      <w:r>
        <w:rPr>
          <w:b/>
          <w:color w:val="FFFFFF"/>
          <w:spacing w:val="-2"/>
          <w:sz w:val="16"/>
        </w:rPr>
        <w:t>operations</w:t>
      </w:r>
    </w:p>
    <w:p>
      <w:pPr>
        <w:spacing w:line="271" w:lineRule="auto" w:before="24"/>
        <w:ind w:left="37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Over 8 years of experience managing leasing efforts and property operations for mid-sized multifamily communities. Known for high occupancy rates and strong lease conversion metrics.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49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141" w:right="708"/>
        </w:sectPr>
      </w:pPr>
    </w:p>
    <w:p>
      <w:pPr>
        <w:pStyle w:val="BodyText"/>
        <w:spacing w:before="104"/>
        <w:ind w:left="807"/>
      </w:pPr>
      <w:r>
        <w:rPr>
          <w:spacing w:val="-2"/>
          <w:w w:val="90"/>
        </w:rPr>
        <w:t>City,</w:t>
      </w:r>
      <w:r>
        <w:rPr>
          <w:spacing w:val="-4"/>
          <w:w w:val="90"/>
        </w:rPr>
        <w:t> </w:t>
      </w:r>
      <w:r>
        <w:rPr>
          <w:spacing w:val="-5"/>
        </w:rPr>
        <w:t>ST</w:t>
      </w:r>
    </w:p>
    <w:p>
      <w:pPr>
        <w:pStyle w:val="BodyText"/>
        <w:ind w:left="0"/>
      </w:pPr>
    </w:p>
    <w:p>
      <w:pPr>
        <w:pStyle w:val="BodyText"/>
        <w:spacing w:before="2"/>
        <w:ind w:left="0"/>
      </w:pPr>
    </w:p>
    <w:p>
      <w:pPr>
        <w:pStyle w:val="BodyText"/>
        <w:spacing w:before="1"/>
        <w:ind w:left="807"/>
      </w:pPr>
      <w:r>
        <w:rPr>
          <w:spacing w:val="-2"/>
          <w:w w:val="105"/>
        </w:rPr>
        <w:t>(123)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before="72"/>
        <w:ind w:left="0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spacing w:before="0"/>
        <w:ind w:left="993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pacing w:val="-2"/>
          <w:sz w:val="16"/>
        </w:rPr>
        <w:t>PROFESSIONAL</w:t>
      </w:r>
      <w:r>
        <w:rPr>
          <w:rFonts w:ascii="Arial"/>
          <w:b/>
          <w:color w:val="FFFFFF"/>
          <w:spacing w:val="7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EXPERIENCE</w:t>
      </w:r>
    </w:p>
    <w:p>
      <w:pPr>
        <w:pStyle w:val="BodyText"/>
        <w:spacing w:before="61"/>
        <w:ind w:left="0"/>
        <w:rPr>
          <w:rFonts w:ascii="Arial"/>
          <w:b/>
          <w:sz w:val="16"/>
        </w:rPr>
      </w:pPr>
    </w:p>
    <w:p>
      <w:pPr>
        <w:spacing w:before="0"/>
        <w:ind w:left="807" w:right="0" w:firstLine="0"/>
        <w:jc w:val="left"/>
        <w:rPr>
          <w:b/>
          <w:sz w:val="18"/>
        </w:rPr>
      </w:pPr>
      <w:r>
        <w:rPr>
          <w:b/>
          <w:sz w:val="18"/>
        </w:rPr>
        <w:t>LEASING</w:t>
      </w:r>
      <w:r>
        <w:rPr>
          <w:b/>
          <w:spacing w:val="15"/>
          <w:sz w:val="18"/>
        </w:rPr>
        <w:t> </w:t>
      </w:r>
      <w:r>
        <w:rPr>
          <w:b/>
          <w:sz w:val="18"/>
        </w:rPr>
        <w:t>AND</w:t>
      </w:r>
      <w:r>
        <w:rPr>
          <w:b/>
          <w:spacing w:val="16"/>
          <w:sz w:val="18"/>
        </w:rPr>
        <w:t> </w:t>
      </w:r>
      <w:r>
        <w:rPr>
          <w:b/>
          <w:sz w:val="18"/>
        </w:rPr>
        <w:t>PROPERTY</w:t>
      </w:r>
      <w:r>
        <w:rPr>
          <w:b/>
          <w:spacing w:val="16"/>
          <w:sz w:val="18"/>
        </w:rPr>
        <w:t> </w:t>
      </w:r>
      <w:r>
        <w:rPr>
          <w:b/>
          <w:sz w:val="18"/>
        </w:rPr>
        <w:t>MANAGER</w:t>
      </w:r>
      <w:r>
        <w:rPr>
          <w:b/>
          <w:spacing w:val="31"/>
          <w:sz w:val="18"/>
        </w:rPr>
        <w:t> </w:t>
      </w:r>
      <w:r>
        <w:rPr>
          <w:w w:val="90"/>
          <w:position w:val="1"/>
          <w:sz w:val="18"/>
        </w:rPr>
        <w:t>|</w:t>
      </w:r>
      <w:r>
        <w:rPr>
          <w:spacing w:val="31"/>
          <w:position w:val="1"/>
          <w:sz w:val="18"/>
        </w:rPr>
        <w:t> </w:t>
      </w:r>
      <w:r>
        <w:rPr>
          <w:b/>
          <w:sz w:val="18"/>
        </w:rPr>
        <w:t>GREENRIDGE</w:t>
      </w:r>
      <w:r>
        <w:rPr>
          <w:b/>
          <w:spacing w:val="16"/>
          <w:sz w:val="18"/>
        </w:rPr>
        <w:t> </w:t>
      </w:r>
      <w:r>
        <w:rPr>
          <w:b/>
          <w:sz w:val="18"/>
        </w:rPr>
        <w:t>LIVING,</w:t>
      </w:r>
      <w:r>
        <w:rPr>
          <w:b/>
          <w:spacing w:val="17"/>
          <w:sz w:val="18"/>
        </w:rPr>
        <w:t> </w:t>
      </w:r>
      <w:r>
        <w:rPr>
          <w:b/>
          <w:sz w:val="18"/>
        </w:rPr>
        <w:t>CHARLOTTE,</w:t>
      </w:r>
      <w:r>
        <w:rPr>
          <w:b/>
          <w:spacing w:val="17"/>
          <w:sz w:val="18"/>
        </w:rPr>
        <w:t> </w:t>
      </w:r>
      <w:r>
        <w:rPr>
          <w:b/>
          <w:spacing w:val="-5"/>
          <w:sz w:val="18"/>
        </w:rPr>
        <w:t>NC</w:t>
      </w:r>
    </w:p>
    <w:p>
      <w:pPr>
        <w:pStyle w:val="BodyText"/>
        <w:spacing w:before="23"/>
        <w:ind w:left="807"/>
      </w:pPr>
      <w:r>
        <w:rPr>
          <w:w w:val="115"/>
        </w:rPr>
        <w:t>MARCH</w:t>
      </w:r>
      <w:r>
        <w:rPr>
          <w:spacing w:val="-10"/>
          <w:w w:val="115"/>
        </w:rPr>
        <w:t> </w:t>
      </w:r>
      <w:r>
        <w:rPr>
          <w:w w:val="115"/>
        </w:rPr>
        <w:t>2019</w:t>
      </w:r>
      <w:r>
        <w:rPr>
          <w:spacing w:val="-9"/>
          <w:w w:val="115"/>
        </w:rPr>
        <w:t> </w:t>
      </w:r>
      <w:r>
        <w:rPr>
          <w:w w:val="115"/>
        </w:rPr>
        <w:t>–</w:t>
      </w:r>
      <w:r>
        <w:rPr>
          <w:spacing w:val="-10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708"/>
          <w:cols w:num="2" w:equalWidth="0">
            <w:col w:w="2117" w:space="1100"/>
            <w:col w:w="7854"/>
          </w:cols>
        </w:sectPr>
      </w:pPr>
    </w:p>
    <w:p>
      <w:pPr>
        <w:pStyle w:val="BodyText"/>
        <w:spacing w:before="196"/>
        <w:ind w:left="807"/>
      </w:pPr>
      <w:hyperlink r:id="rId5">
        <w:r>
          <w:rPr>
            <w:spacing w:val="-2"/>
          </w:rPr>
          <w:t>email@example.com</w:t>
        </w:r>
      </w:hyperlink>
    </w:p>
    <w:p>
      <w:pPr>
        <w:pStyle w:val="BodyText"/>
        <w:spacing w:before="186"/>
        <w:ind w:left="0"/>
      </w:pPr>
    </w:p>
    <w:p>
      <w:pPr>
        <w:spacing w:before="0"/>
        <w:ind w:left="44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KEY</w:t>
      </w:r>
      <w:r>
        <w:rPr>
          <w:rFonts w:ascii="Arial"/>
          <w:b/>
          <w:color w:val="FFFFFF"/>
          <w:spacing w:val="-9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SKILLS</w:t>
      </w:r>
    </w:p>
    <w:p>
      <w:pPr>
        <w:pStyle w:val="BodyText"/>
        <w:spacing w:before="26"/>
        <w:ind w:left="0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04" w:lineRule="auto" w:before="0" w:after="0"/>
        <w:ind w:left="342" w:right="76" w:hanging="298"/>
        <w:jc w:val="left"/>
        <w:rPr>
          <w:sz w:val="18"/>
        </w:rPr>
      </w:pPr>
      <w:r>
        <w:rPr>
          <w:w w:val="105"/>
          <w:sz w:val="18"/>
        </w:rPr>
        <w:t>Maintained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97%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occupancy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140-unit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property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3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consecutive </w:t>
      </w:r>
      <w:r>
        <w:rPr>
          <w:spacing w:val="-2"/>
          <w:w w:val="105"/>
          <w:sz w:val="18"/>
        </w:rPr>
        <w:t>years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35" w:lineRule="exact" w:before="35" w:after="0"/>
        <w:ind w:left="340" w:right="0" w:hanging="296"/>
        <w:jc w:val="left"/>
        <w:rPr>
          <w:sz w:val="18"/>
        </w:rPr>
      </w:pPr>
      <w:r>
        <w:rPr>
          <w:sz w:val="18"/>
        </w:rPr>
        <w:t>Trained</w:t>
      </w:r>
      <w:r>
        <w:rPr>
          <w:spacing w:val="-1"/>
          <w:sz w:val="18"/>
        </w:rPr>
        <w:t> </w:t>
      </w:r>
      <w:r>
        <w:rPr>
          <w:sz w:val="18"/>
        </w:rPr>
        <w:t>new leasing agents and created a performance</w:t>
      </w:r>
      <w:r>
        <w:rPr>
          <w:spacing w:val="-1"/>
          <w:sz w:val="18"/>
        </w:rPr>
        <w:t> </w:t>
      </w:r>
      <w:r>
        <w:rPr>
          <w:sz w:val="18"/>
        </w:rPr>
        <w:t>tracking </w:t>
      </w:r>
      <w:r>
        <w:rPr>
          <w:spacing w:val="-2"/>
          <w:sz w:val="18"/>
        </w:rPr>
        <w:t>system</w:t>
      </w:r>
    </w:p>
    <w:p>
      <w:pPr>
        <w:pStyle w:val="ListParagraph"/>
        <w:spacing w:after="0" w:line="335" w:lineRule="exact"/>
        <w:jc w:val="left"/>
        <w:rPr>
          <w:sz w:val="18"/>
        </w:rPr>
        <w:sectPr>
          <w:type w:val="continuous"/>
          <w:pgSz w:w="11920" w:h="16860"/>
          <w:pgMar w:top="780" w:bottom="280" w:left="141" w:right="708"/>
          <w:cols w:num="2" w:equalWidth="0">
            <w:col w:w="2545" w:space="1621"/>
            <w:col w:w="6905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6" w:lineRule="exact" w:before="101" w:after="0"/>
        <w:ind w:left="675" w:right="0" w:hanging="296"/>
        <w:jc w:val="left"/>
        <w:rPr>
          <w:sz w:val="18"/>
        </w:rPr>
      </w:pPr>
      <w:r>
        <w:rPr>
          <w:sz w:val="18"/>
        </w:rPr>
        <w:t>Application</w:t>
      </w:r>
      <w:r>
        <w:rPr>
          <w:spacing w:val="-2"/>
          <w:sz w:val="18"/>
        </w:rPr>
        <w:t> screening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232" w:lineRule="exact" w:before="0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Lease</w:t>
      </w:r>
      <w:r>
        <w:rPr>
          <w:spacing w:val="-2"/>
          <w:w w:val="105"/>
          <w:sz w:val="18"/>
        </w:rPr>
        <w:t> negotiations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53" w:lineRule="exact" w:before="0" w:after="0"/>
        <w:ind w:left="675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Improved</w:t>
      </w:r>
      <w:r>
        <w:rPr>
          <w:spacing w:val="-3"/>
          <w:sz w:val="18"/>
        </w:rPr>
        <w:t> </w:t>
      </w:r>
      <w:r>
        <w:rPr>
          <w:sz w:val="18"/>
        </w:rPr>
        <w:t>tour-to-lease</w:t>
      </w:r>
      <w:r>
        <w:rPr>
          <w:spacing w:val="-2"/>
          <w:sz w:val="18"/>
        </w:rPr>
        <w:t> </w:t>
      </w:r>
      <w:r>
        <w:rPr>
          <w:sz w:val="18"/>
        </w:rPr>
        <w:t>conversion</w:t>
      </w:r>
      <w:r>
        <w:rPr>
          <w:spacing w:val="-2"/>
          <w:sz w:val="18"/>
        </w:rPr>
        <w:t> </w:t>
      </w:r>
      <w:r>
        <w:rPr>
          <w:sz w:val="18"/>
        </w:rPr>
        <w:t>rate</w:t>
      </w:r>
      <w:r>
        <w:rPr>
          <w:spacing w:val="-2"/>
          <w:sz w:val="18"/>
        </w:rPr>
        <w:t> </w:t>
      </w:r>
      <w:r>
        <w:rPr>
          <w:sz w:val="18"/>
        </w:rPr>
        <w:t>by</w:t>
      </w:r>
      <w:r>
        <w:rPr>
          <w:spacing w:val="-2"/>
          <w:sz w:val="18"/>
        </w:rPr>
        <w:t> </w:t>
      </w:r>
      <w:r>
        <w:rPr>
          <w:sz w:val="18"/>
        </w:rPr>
        <w:t>24%</w:t>
      </w:r>
      <w:r>
        <w:rPr>
          <w:spacing w:val="-2"/>
          <w:sz w:val="18"/>
        </w:rPr>
        <w:t> </w:t>
      </w:r>
      <w:r>
        <w:rPr>
          <w:sz w:val="18"/>
        </w:rPr>
        <w:t>through</w:t>
      </w:r>
      <w:r>
        <w:rPr>
          <w:spacing w:val="-3"/>
          <w:sz w:val="18"/>
        </w:rPr>
        <w:t> </w:t>
      </w:r>
      <w:r>
        <w:rPr>
          <w:sz w:val="18"/>
        </w:rPr>
        <w:t>strategic</w:t>
      </w:r>
      <w:r>
        <w:rPr>
          <w:spacing w:val="-2"/>
          <w:sz w:val="18"/>
        </w:rPr>
        <w:t> marketing</w:t>
      </w:r>
    </w:p>
    <w:p>
      <w:pPr>
        <w:pStyle w:val="ListParagraph"/>
        <w:spacing w:after="0" w:line="353" w:lineRule="exact"/>
        <w:jc w:val="left"/>
        <w:rPr>
          <w:sz w:val="18"/>
        </w:rPr>
        <w:sectPr>
          <w:type w:val="continuous"/>
          <w:pgSz w:w="11920" w:h="16860"/>
          <w:pgMar w:top="780" w:bottom="280" w:left="141" w:right="708"/>
          <w:cols w:num="2" w:equalWidth="0">
            <w:col w:w="2502" w:space="1329"/>
            <w:col w:w="7240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43" w:lineRule="exact" w:before="77" w:after="0"/>
        <w:ind w:left="67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Lead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conversion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231" w:lineRule="exact" w:before="0" w:after="0"/>
        <w:ind w:left="675" w:right="0" w:hanging="296"/>
        <w:jc w:val="left"/>
        <w:rPr>
          <w:sz w:val="18"/>
        </w:rPr>
      </w:pPr>
      <w:r>
        <w:rPr>
          <w:sz w:val="18"/>
        </w:rPr>
        <w:t>Market</w:t>
      </w:r>
      <w:r>
        <w:rPr>
          <w:spacing w:val="-9"/>
          <w:sz w:val="18"/>
        </w:rPr>
        <w:t> </w:t>
      </w:r>
      <w:r>
        <w:rPr>
          <w:sz w:val="18"/>
        </w:rPr>
        <w:t>rent</w:t>
      </w:r>
      <w:r>
        <w:rPr>
          <w:spacing w:val="-9"/>
          <w:sz w:val="18"/>
        </w:rPr>
        <w:t> </w:t>
      </w:r>
      <w:r>
        <w:rPr>
          <w:spacing w:val="-2"/>
          <w:sz w:val="18"/>
        </w:rPr>
        <w:t>analysis</w:t>
      </w:r>
    </w:p>
    <w:p>
      <w:pPr>
        <w:spacing w:before="2"/>
        <w:ind w:left="37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sz w:val="18"/>
        </w:rPr>
        <w:t>LEASING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CONSULTANT</w:t>
      </w:r>
      <w:r>
        <w:rPr>
          <w:b/>
          <w:spacing w:val="29"/>
          <w:sz w:val="18"/>
        </w:rPr>
        <w:t> </w:t>
      </w:r>
      <w:r>
        <w:rPr>
          <w:w w:val="90"/>
          <w:position w:val="1"/>
          <w:sz w:val="18"/>
        </w:rPr>
        <w:t>|</w:t>
      </w:r>
      <w:r>
        <w:rPr>
          <w:spacing w:val="29"/>
          <w:position w:val="1"/>
          <w:sz w:val="18"/>
        </w:rPr>
        <w:t> </w:t>
      </w:r>
      <w:r>
        <w:rPr>
          <w:b/>
          <w:sz w:val="18"/>
        </w:rPr>
        <w:t>MONROE</w:t>
      </w:r>
      <w:r>
        <w:rPr>
          <w:b/>
          <w:spacing w:val="14"/>
          <w:sz w:val="18"/>
        </w:rPr>
        <w:t> </w:t>
      </w:r>
      <w:r>
        <w:rPr>
          <w:b/>
          <w:sz w:val="18"/>
        </w:rPr>
        <w:t>PROPERTIES,</w:t>
      </w:r>
      <w:r>
        <w:rPr>
          <w:b/>
          <w:spacing w:val="15"/>
          <w:sz w:val="18"/>
        </w:rPr>
        <w:t> </w:t>
      </w:r>
      <w:r>
        <w:rPr>
          <w:b/>
          <w:sz w:val="18"/>
        </w:rPr>
        <w:t>CHARLOTTE,</w:t>
      </w:r>
      <w:r>
        <w:rPr>
          <w:b/>
          <w:spacing w:val="15"/>
          <w:sz w:val="18"/>
        </w:rPr>
        <w:t> </w:t>
      </w:r>
      <w:r>
        <w:rPr>
          <w:b/>
          <w:spacing w:val="-5"/>
          <w:sz w:val="18"/>
        </w:rPr>
        <w:t>NC</w:t>
      </w:r>
    </w:p>
    <w:p>
      <w:pPr>
        <w:pStyle w:val="BodyText"/>
        <w:spacing w:before="22"/>
        <w:ind w:left="379"/>
      </w:pPr>
      <w:r>
        <w:rPr>
          <w:spacing w:val="-2"/>
          <w:w w:val="110"/>
        </w:rPr>
        <w:t>JULY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2015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–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FEBRUARY</w:t>
      </w:r>
      <w:r>
        <w:rPr>
          <w:spacing w:val="-7"/>
          <w:w w:val="110"/>
        </w:rPr>
        <w:t> </w:t>
      </w:r>
      <w:r>
        <w:rPr>
          <w:spacing w:val="-4"/>
          <w:w w:val="110"/>
        </w:rPr>
        <w:t>2019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708"/>
          <w:cols w:num="2" w:equalWidth="0">
            <w:col w:w="2385" w:space="1260"/>
            <w:col w:w="7426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6" w:lineRule="exact" w:before="85" w:after="0"/>
        <w:ind w:left="67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Occupancy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tracking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14" w:lineRule="exact" w:before="0" w:after="0"/>
        <w:ind w:left="675" w:right="0" w:hanging="296"/>
        <w:jc w:val="left"/>
        <w:rPr>
          <w:sz w:val="18"/>
        </w:rPr>
      </w:pPr>
      <w:r>
        <w:rPr>
          <w:sz w:val="18"/>
        </w:rPr>
        <w:t>Resident</w:t>
      </w:r>
      <w:r>
        <w:rPr>
          <w:spacing w:val="6"/>
          <w:sz w:val="18"/>
        </w:rPr>
        <w:t> </w:t>
      </w:r>
      <w:r>
        <w:rPr>
          <w:spacing w:val="-2"/>
          <w:sz w:val="18"/>
        </w:rPr>
        <w:t>onboarding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9" w:lineRule="exact" w:before="0" w:after="0"/>
        <w:ind w:left="675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Conducted</w:t>
      </w:r>
      <w:r>
        <w:rPr>
          <w:spacing w:val="-2"/>
          <w:sz w:val="18"/>
        </w:rPr>
        <w:t> </w:t>
      </w:r>
      <w:r>
        <w:rPr>
          <w:sz w:val="18"/>
        </w:rPr>
        <w:t>daily</w:t>
      </w:r>
      <w:r>
        <w:rPr>
          <w:spacing w:val="-2"/>
          <w:sz w:val="18"/>
        </w:rPr>
        <w:t> </w:t>
      </w:r>
      <w:r>
        <w:rPr>
          <w:sz w:val="18"/>
        </w:rPr>
        <w:t>tours</w:t>
      </w:r>
      <w:r>
        <w:rPr>
          <w:spacing w:val="-1"/>
          <w:sz w:val="18"/>
        </w:rPr>
        <w:t> </w:t>
      </w:r>
      <w:r>
        <w:rPr>
          <w:sz w:val="18"/>
        </w:rPr>
        <w:t>and</w:t>
      </w:r>
      <w:r>
        <w:rPr>
          <w:spacing w:val="-2"/>
          <w:sz w:val="18"/>
        </w:rPr>
        <w:t> </w:t>
      </w:r>
      <w:r>
        <w:rPr>
          <w:sz w:val="18"/>
        </w:rPr>
        <w:t>followed</w:t>
      </w:r>
      <w:r>
        <w:rPr>
          <w:spacing w:val="-2"/>
          <w:sz w:val="18"/>
        </w:rPr>
        <w:t> </w:t>
      </w:r>
      <w:r>
        <w:rPr>
          <w:sz w:val="18"/>
        </w:rPr>
        <w:t>up</w:t>
      </w:r>
      <w:r>
        <w:rPr>
          <w:spacing w:val="-1"/>
          <w:sz w:val="18"/>
        </w:rPr>
        <w:t> </w:t>
      </w:r>
      <w:r>
        <w:rPr>
          <w:sz w:val="18"/>
        </w:rPr>
        <w:t>on</w:t>
      </w:r>
      <w:r>
        <w:rPr>
          <w:spacing w:val="-2"/>
          <w:sz w:val="18"/>
        </w:rPr>
        <w:t> </w:t>
      </w:r>
      <w:r>
        <w:rPr>
          <w:sz w:val="18"/>
        </w:rPr>
        <w:t>applicant</w:t>
      </w:r>
      <w:r>
        <w:rPr>
          <w:spacing w:val="-2"/>
          <w:sz w:val="18"/>
        </w:rPr>
        <w:t> </w:t>
      </w:r>
      <w:r>
        <w:rPr>
          <w:spacing w:val="-4"/>
          <w:sz w:val="18"/>
        </w:rPr>
        <w:t>leads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43" w:lineRule="exact" w:before="0" w:after="0"/>
        <w:ind w:left="675" w:right="0" w:hanging="296"/>
        <w:jc w:val="left"/>
        <w:rPr>
          <w:sz w:val="18"/>
        </w:rPr>
      </w:pPr>
      <w:r>
        <w:rPr>
          <w:sz w:val="18"/>
        </w:rPr>
        <w:t>Reviewed applications and</w:t>
      </w:r>
      <w:r>
        <w:rPr>
          <w:spacing w:val="1"/>
          <w:sz w:val="18"/>
        </w:rPr>
        <w:t> </w:t>
      </w:r>
      <w:r>
        <w:rPr>
          <w:sz w:val="18"/>
        </w:rPr>
        <w:t>prepared lease </w:t>
      </w:r>
      <w:r>
        <w:rPr>
          <w:spacing w:val="-2"/>
          <w:sz w:val="18"/>
        </w:rPr>
        <w:t>documents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80" w:bottom="280" w:left="141" w:right="708"/>
          <w:cols w:num="2" w:equalWidth="0">
            <w:col w:w="2422" w:space="1409"/>
            <w:col w:w="7240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52" w:lineRule="exact" w:before="0" w:after="0"/>
        <w:ind w:left="67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039348"/>
                            <a:ext cx="7568565" cy="665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65480">
                                <a:moveTo>
                                  <a:pt x="0" y="665227"/>
                                </a:moveTo>
                                <a:lnTo>
                                  <a:pt x="7568183" y="66522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652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039337"/>
                                </a:moveTo>
                                <a:lnTo>
                                  <a:pt x="2444839" y="1003933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03933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62200"/>
                                </a:lnTo>
                                <a:lnTo>
                                  <a:pt x="2444839" y="2362200"/>
                                </a:lnTo>
                                <a:lnTo>
                                  <a:pt x="2454351" y="2362200"/>
                                </a:lnTo>
                                <a:lnTo>
                                  <a:pt x="7568171" y="23622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36219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36219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36219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657599"/>
                            <a:ext cx="2352675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238125">
                                <a:moveTo>
                                  <a:pt x="2352674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495549"/>
                            <a:ext cx="161925" cy="2361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292417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2956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457449" y="236219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47937" y="2590812"/>
                            <a:ext cx="4920615" cy="2886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2886075">
                                <a:moveTo>
                                  <a:pt x="4920234" y="2647937"/>
                                </a:moveTo>
                                <a:lnTo>
                                  <a:pt x="0" y="2647937"/>
                                </a:lnTo>
                                <a:lnTo>
                                  <a:pt x="0" y="2886062"/>
                                </a:lnTo>
                                <a:lnTo>
                                  <a:pt x="4920234" y="2886062"/>
                                </a:lnTo>
                                <a:lnTo>
                                  <a:pt x="4920234" y="2647937"/>
                                </a:lnTo>
                                <a:close/>
                              </a:path>
                              <a:path w="4920615" h="2886075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8112"/>
                                </a:lnTo>
                                <a:lnTo>
                                  <a:pt x="4920234" y="238112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6768" id="docshapegroup1" coordorigin="0,0" coordsize="11919,16858">
                <v:rect style="position:absolute;left:0;top:15810;width:11919;height:1048" id="docshape2" filled="true" fillcolor="#0f2973" stroked="false">
                  <v:fill opacity="32899f" type="solid"/>
                </v:rect>
                <v:shape style="position:absolute;left:0;top:0;width:11919;height:16858" id="docshape3" coordorigin="0,0" coordsize="11919,16858" path="m3865,15810l3850,15810,3850,16858,3865,16858,3865,15810xm11918,0l3865,0,3850,0,0,0,0,3720,3850,3720,3865,3720,11918,3720,11918,0xe" filled="true" fillcolor="#424242" stroked="false">
                  <v:path arrowok="t"/>
                  <v:fill type="solid"/>
                </v:shape>
                <v:rect style="position:absolute;left:0;top:3720;width:11919;height:12090" id="docshape4" filled="true" fillcolor="#ffffff" stroked="false">
                  <v:fill type="solid"/>
                </v:rect>
                <v:rect style="position:absolute;left:0;top:3720;width:3870;height:12090" id="docshape5" filled="true" fillcolor="#0f2973" stroked="false">
                  <v:fill opacity="32899f" type="solid"/>
                </v:rect>
                <v:rect style="position:absolute;left:3855;top:3720;width:15;height:12090" id="docshape6" filled="true" fillcolor="#424242" stroked="false">
                  <v:fill type="solid"/>
                </v:rect>
                <v:rect style="position:absolute;left:0;top:5760;width:3705;height:375" id="docshape7" filled="true" fillcolor="#0f2973" stroked="false">
                  <v:fill type="solid"/>
                </v:rect>
                <v:shape style="position:absolute;left:525;top:3930;width:255;height:372" type="#_x0000_t75" id="docshape8" stroked="false">
                  <v:imagedata r:id="rId6" o:title=""/>
                </v:shape>
                <v:shape style="position:absolute;left:525;top:4605;width:255;height:261" type="#_x0000_t75" id="docshape9" stroked="false">
                  <v:imagedata r:id="rId7" o:title=""/>
                </v:shape>
                <v:shape style="position:absolute;left:525;top:5190;width:255;height:300" type="#_x0000_t75" id="docshape10" stroked="false">
                  <v:imagedata r:id="rId8" o:title=""/>
                </v:shape>
                <v:rect style="position:absolute;left:3870;top:3720;width:8049;height:12090" id="docshape11" filled="true" fillcolor="#0f2973" stroked="false">
                  <v:fill opacity="32899f" type="solid"/>
                </v:rect>
                <v:shape style="position:absolute;left:4169;top:4080;width:7749;height:4545" id="docshape12" coordorigin="4170,4080" coordsize="7749,4545" path="m11918,8250l4170,8250,4170,8625,11918,8625,11918,8250xm11918,4080l4170,4080,4170,4455,11918,4455,11918,4080xe" filled="true" fillcolor="#0f29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18"/>
        </w:rPr>
        <w:t>Tour</w:t>
      </w:r>
      <w:r>
        <w:rPr>
          <w:spacing w:val="-10"/>
          <w:sz w:val="18"/>
        </w:rPr>
        <w:t> </w:t>
      </w:r>
      <w:r>
        <w:rPr>
          <w:spacing w:val="-2"/>
          <w:sz w:val="18"/>
        </w:rPr>
        <w:t>scheduling</w:t>
      </w:r>
    </w:p>
    <w:p>
      <w:pPr>
        <w:spacing w:before="151"/>
        <w:ind w:left="565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color w:val="FFFFFF"/>
          <w:spacing w:val="-2"/>
          <w:w w:val="105"/>
          <w:sz w:val="16"/>
        </w:rPr>
        <w:t>EDUCATION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44" w:lineRule="exact" w:before="156" w:after="0"/>
        <w:ind w:left="675" w:right="0" w:hanging="296"/>
        <w:jc w:val="left"/>
        <w:rPr>
          <w:sz w:val="18"/>
        </w:rPr>
      </w:pPr>
      <w:r>
        <w:rPr>
          <w:sz w:val="18"/>
        </w:rPr>
        <w:t>Bachelor</w:t>
      </w:r>
      <w:r>
        <w:rPr>
          <w:spacing w:val="3"/>
          <w:sz w:val="18"/>
        </w:rPr>
        <w:t> </w:t>
      </w:r>
      <w:r>
        <w:rPr>
          <w:sz w:val="18"/>
        </w:rPr>
        <w:t>of</w:t>
      </w:r>
      <w:r>
        <w:rPr>
          <w:spacing w:val="4"/>
          <w:sz w:val="18"/>
        </w:rPr>
        <w:t> </w:t>
      </w:r>
      <w:r>
        <w:rPr>
          <w:sz w:val="18"/>
        </w:rPr>
        <w:t>Arts</w:t>
      </w:r>
      <w:r>
        <w:rPr>
          <w:spacing w:val="4"/>
          <w:sz w:val="18"/>
        </w:rPr>
        <w:t> </w:t>
      </w:r>
      <w:r>
        <w:rPr>
          <w:sz w:val="18"/>
        </w:rPr>
        <w:t>in</w:t>
      </w:r>
      <w:r>
        <w:rPr>
          <w:spacing w:val="4"/>
          <w:sz w:val="18"/>
        </w:rPr>
        <w:t> </w:t>
      </w:r>
      <w:r>
        <w:rPr>
          <w:sz w:val="18"/>
        </w:rPr>
        <w:t>Marketing</w:t>
      </w:r>
      <w:r>
        <w:rPr>
          <w:spacing w:val="4"/>
          <w:sz w:val="18"/>
        </w:rPr>
        <w:t> </w:t>
      </w:r>
      <w:r>
        <w:rPr>
          <w:sz w:val="18"/>
        </w:rPr>
        <w:t>and</w:t>
      </w:r>
      <w:r>
        <w:rPr>
          <w:spacing w:val="4"/>
          <w:sz w:val="18"/>
        </w:rPr>
        <w:t> </w:t>
      </w:r>
      <w:r>
        <w:rPr>
          <w:spacing w:val="-2"/>
          <w:sz w:val="18"/>
        </w:rPr>
        <w:t>Management</w:t>
      </w:r>
    </w:p>
    <w:p>
      <w:pPr>
        <w:pStyle w:val="BodyText"/>
        <w:spacing w:line="197" w:lineRule="exact"/>
        <w:ind w:left="677"/>
      </w:pPr>
      <w:r>
        <w:rPr/>
        <w:t>University</w:t>
      </w:r>
      <w:r>
        <w:rPr>
          <w:spacing w:val="-13"/>
        </w:rPr>
        <w:t> </w:t>
      </w:r>
      <w:r>
        <w:rPr/>
        <w:t>of</w:t>
      </w:r>
      <w:r>
        <w:rPr>
          <w:spacing w:val="-12"/>
        </w:rPr>
        <w:t> </w:t>
      </w:r>
      <w:r>
        <w:rPr/>
        <w:t>North</w:t>
      </w:r>
      <w:r>
        <w:rPr>
          <w:spacing w:val="-12"/>
        </w:rPr>
        <w:t> </w:t>
      </w:r>
      <w:r>
        <w:rPr/>
        <w:t>Carolina</w:t>
      </w:r>
      <w:r>
        <w:rPr>
          <w:spacing w:val="-12"/>
        </w:rPr>
        <w:t> </w:t>
      </w:r>
      <w:r>
        <w:rPr/>
        <w:t>at</w:t>
      </w:r>
      <w:r>
        <w:rPr>
          <w:spacing w:val="-12"/>
        </w:rPr>
        <w:t> </w:t>
      </w:r>
      <w:r>
        <w:rPr/>
        <w:t>Charlotte</w:t>
      </w:r>
      <w:r>
        <w:rPr>
          <w:spacing w:val="-12"/>
        </w:rPr>
        <w:t> </w:t>
      </w:r>
      <w:r>
        <w:rPr>
          <w:w w:val="85"/>
        </w:rPr>
        <w:t>|</w:t>
      </w:r>
      <w:r>
        <w:rPr>
          <w:spacing w:val="-4"/>
          <w:w w:val="85"/>
        </w:rPr>
        <w:t> </w:t>
      </w:r>
      <w:r>
        <w:rPr/>
        <w:t>Graduated:</w:t>
      </w:r>
      <w:r>
        <w:rPr>
          <w:spacing w:val="-12"/>
        </w:rPr>
        <w:t> </w:t>
      </w:r>
      <w:r>
        <w:rPr/>
        <w:t>May</w:t>
      </w:r>
      <w:r>
        <w:rPr>
          <w:spacing w:val="-12"/>
        </w:rPr>
        <w:t> </w:t>
      </w:r>
      <w:r>
        <w:rPr>
          <w:spacing w:val="-4"/>
        </w:rPr>
        <w:t>2015</w:t>
      </w:r>
    </w:p>
    <w:sectPr>
      <w:type w:val="continuous"/>
      <w:pgSz w:w="11920" w:h="16860"/>
      <w:pgMar w:top="780" w:bottom="280" w:left="141" w:right="708"/>
      <w:cols w:num="2" w:equalWidth="0">
        <w:col w:w="2035" w:space="1610"/>
        <w:col w:w="742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1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10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36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6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88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14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75"/>
    </w:pPr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67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2026-02-15T11:57:05Z</dcterms:created>
  <dcterms:modified xsi:type="dcterms:W3CDTF">2026-02-15T11:57:05Z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