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278" w:right="14" w:firstLine="0"/>
        <w:jc w:val="center"/>
        <w:rPr>
          <w:rFonts w:ascii="Verdana"/>
          <w:sz w:val="74"/>
        </w:rPr>
      </w:pPr>
      <w:r>
        <w:rPr>
          <w:rFonts w:ascii="Calibri"/>
          <w:b/>
          <w:color w:val="533377"/>
          <w:spacing w:val="12"/>
          <w:w w:val="120"/>
          <w:sz w:val="74"/>
        </w:rPr>
        <w:t>Isabella</w:t>
      </w:r>
      <w:r>
        <w:rPr>
          <w:rFonts w:ascii="Calibri"/>
          <w:b/>
          <w:color w:val="533377"/>
          <w:spacing w:val="-5"/>
          <w:w w:val="120"/>
          <w:sz w:val="74"/>
        </w:rPr>
        <w:t>  </w:t>
      </w:r>
      <w:r>
        <w:rPr>
          <w:rFonts w:ascii="Verdana"/>
          <w:color w:val="533377"/>
          <w:spacing w:val="6"/>
          <w:w w:val="115"/>
          <w:sz w:val="74"/>
        </w:rPr>
        <w:t>Chen</w:t>
      </w:r>
    </w:p>
    <w:p>
      <w:pPr>
        <w:pStyle w:val="Heading4"/>
        <w:spacing w:before="185"/>
        <w:ind w:right="3"/>
        <w:rPr>
          <w:rFonts w:ascii="Calibri"/>
        </w:rPr>
      </w:pPr>
      <w:r>
        <w:rPr>
          <w:rFonts w:ascii="Calibri"/>
          <w:color w:val="533377"/>
          <w:w w:val="130"/>
        </w:rPr>
        <w:t>HR</w:t>
      </w:r>
      <w:r>
        <w:rPr>
          <w:rFonts w:ascii="Calibri"/>
          <w:color w:val="533377"/>
          <w:spacing w:val="34"/>
          <w:w w:val="130"/>
        </w:rPr>
        <w:t> </w:t>
      </w:r>
      <w:r>
        <w:rPr>
          <w:rFonts w:ascii="Calibri"/>
          <w:color w:val="533377"/>
          <w:w w:val="130"/>
        </w:rPr>
        <w:t>Compliance</w:t>
      </w:r>
      <w:r>
        <w:rPr>
          <w:rFonts w:ascii="Calibri"/>
          <w:color w:val="533377"/>
          <w:spacing w:val="35"/>
          <w:w w:val="130"/>
        </w:rPr>
        <w:t> </w:t>
      </w:r>
      <w:r>
        <w:rPr>
          <w:rFonts w:ascii="Calibri"/>
          <w:color w:val="533377"/>
          <w:spacing w:val="-2"/>
          <w:w w:val="130"/>
        </w:rPr>
        <w:t>Specialist</w:t>
      </w:r>
    </w:p>
    <w:p>
      <w:pPr>
        <w:pStyle w:val="BodyText"/>
        <w:spacing w:before="73"/>
        <w:rPr>
          <w:rFonts w:ascii="Calibri"/>
          <w:b/>
        </w:rPr>
      </w:pPr>
    </w:p>
    <w:p>
      <w:pPr>
        <w:spacing w:line="276" w:lineRule="auto" w:before="0"/>
        <w:ind w:left="4278" w:right="0" w:firstLine="0"/>
        <w:jc w:val="center"/>
        <w:rPr>
          <w:b/>
          <w:sz w:val="18"/>
        </w:rPr>
      </w:pPr>
      <w:r>
        <w:rPr>
          <w:b/>
          <w:color w:val="533377"/>
          <w:sz w:val="18"/>
        </w:rPr>
        <w:t>HR compliance specialist with expertise in regulatory compliance and risk </w:t>
      </w:r>
      <w:r>
        <w:rPr>
          <w:b/>
          <w:color w:val="533377"/>
          <w:spacing w:val="-2"/>
          <w:sz w:val="18"/>
        </w:rPr>
        <w:t>management</w:t>
      </w:r>
    </w:p>
    <w:p>
      <w:pPr>
        <w:pStyle w:val="BodyText"/>
        <w:spacing w:line="259" w:lineRule="auto" w:before="104"/>
        <w:ind w:left="4278" w:right="1"/>
        <w:jc w:val="center"/>
      </w:pPr>
      <w:r>
        <w:rPr>
          <w:color w:val="533377"/>
          <w:w w:val="105"/>
        </w:rPr>
        <w:t>Detail-oriented HR professional with over nine years of experience ensuring compliance</w:t>
      </w:r>
      <w:r>
        <w:rPr>
          <w:color w:val="533377"/>
          <w:spacing w:val="-1"/>
          <w:w w:val="105"/>
        </w:rPr>
        <w:t> </w:t>
      </w:r>
      <w:r>
        <w:rPr>
          <w:color w:val="533377"/>
          <w:w w:val="105"/>
        </w:rPr>
        <w:t>with labor laws, reducing</w:t>
      </w:r>
      <w:r>
        <w:rPr>
          <w:color w:val="533377"/>
          <w:spacing w:val="-1"/>
          <w:w w:val="105"/>
        </w:rPr>
        <w:t> </w:t>
      </w:r>
      <w:r>
        <w:rPr>
          <w:color w:val="533377"/>
          <w:w w:val="105"/>
        </w:rPr>
        <w:t>legal risks, and managing HR</w:t>
      </w:r>
      <w:r>
        <w:rPr>
          <w:color w:val="533377"/>
          <w:spacing w:val="-1"/>
          <w:w w:val="105"/>
        </w:rPr>
        <w:t> </w:t>
      </w:r>
      <w:r>
        <w:rPr>
          <w:color w:val="533377"/>
          <w:spacing w:val="-2"/>
          <w:w w:val="105"/>
        </w:rPr>
        <w:t>policies.</w:t>
      </w: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708"/>
        </w:sectPr>
      </w:pPr>
    </w:p>
    <w:p>
      <w:pPr>
        <w:pStyle w:val="Heading1"/>
        <w:spacing w:before="112"/>
      </w:pPr>
      <w:r>
        <w:rPr>
          <w:smallCaps/>
          <w:color w:val="FFFFFF"/>
          <w:spacing w:val="-2"/>
          <w:w w:val="130"/>
        </w:rPr>
        <w:t>Personal</w:t>
      </w:r>
    </w:p>
    <w:p>
      <w:pPr>
        <w:pStyle w:val="Heading3"/>
      </w:pP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163"/>
        <w:rPr>
          <w:rFonts w:ascii="Calibri"/>
          <w:b/>
          <w:sz w:val="22"/>
        </w:rPr>
      </w:pPr>
    </w:p>
    <w:p>
      <w:pPr>
        <w:pStyle w:val="BodyText"/>
        <w:ind w:left="758"/>
      </w:pPr>
      <w:r>
        <w:rPr>
          <w:color w:val="FFFFFF"/>
          <w:w w:val="105"/>
        </w:rPr>
        <w:t>(123)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6"/>
      </w:pPr>
    </w:p>
    <w:p>
      <w:pPr>
        <w:pStyle w:val="BodyText"/>
        <w:spacing w:line="326" w:lineRule="auto"/>
        <w:ind w:left="196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hyperlink r:id="rId6">
        <w:r>
          <w:rPr>
            <w:color w:val="FFFFFF"/>
          </w:rPr>
          <w:t>email@example.com</w:t>
        </w:r>
      </w:hyperlink>
      <w:r>
        <w:rPr>
          <w:color w:val="FFFFFF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285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</w:rPr>
        <w:t> </w:t>
      </w:r>
      <w:r>
        <w:rPr>
          <w:color w:val="FFFFFF"/>
        </w:rPr>
        <w:t>City, ST</w:t>
      </w:r>
    </w:p>
    <w:p>
      <w:pPr>
        <w:pStyle w:val="BodyText"/>
        <w:spacing w:before="1"/>
      </w:pPr>
    </w:p>
    <w:p>
      <w:pPr>
        <w:pStyle w:val="Heading1"/>
      </w:pPr>
      <w:r>
        <w:rPr>
          <w:smallCaps/>
          <w:color w:val="FFFFFF"/>
          <w:w w:val="130"/>
        </w:rPr>
        <w:t>Key</w:t>
      </w:r>
      <w:r>
        <w:rPr>
          <w:smallCaps/>
          <w:color w:val="FFFFFF"/>
          <w:spacing w:val="18"/>
          <w:w w:val="130"/>
        </w:rPr>
        <w:t> </w:t>
      </w:r>
      <w:r>
        <w:rPr>
          <w:smallCaps/>
          <w:color w:val="FFFFFF"/>
          <w:spacing w:val="-2"/>
          <w:w w:val="130"/>
        </w:rPr>
        <w:t>skills</w:t>
      </w:r>
    </w:p>
    <w:p>
      <w:pPr>
        <w:pStyle w:val="BodyText"/>
        <w:spacing w:before="114"/>
        <w:rPr>
          <w:rFonts w:ascii="Calibri"/>
          <w:b/>
          <w:sz w:val="22"/>
        </w:rPr>
      </w:pPr>
    </w:p>
    <w:p>
      <w:pPr>
        <w:pStyle w:val="BodyText"/>
        <w:spacing w:line="412" w:lineRule="auto"/>
        <w:ind w:left="497"/>
      </w:pPr>
      <w:r>
        <w:rPr>
          <w:color w:val="FFFFFF"/>
        </w:rPr>
        <w:t>HR policy development Regulatory compliance Labor law interpretation Internal audits</w:t>
      </w:r>
    </w:p>
    <w:p>
      <w:pPr>
        <w:pStyle w:val="BodyText"/>
        <w:spacing w:before="17"/>
        <w:ind w:left="497"/>
      </w:pPr>
      <w:r>
        <w:rPr>
          <w:color w:val="FFFFFF"/>
          <w:w w:val="105"/>
        </w:rPr>
        <w:t>Risk</w:t>
      </w:r>
      <w:r>
        <w:rPr>
          <w:color w:val="FFFFFF"/>
          <w:spacing w:val="23"/>
          <w:w w:val="105"/>
        </w:rPr>
        <w:t> </w:t>
      </w:r>
      <w:r>
        <w:rPr>
          <w:color w:val="FFFFFF"/>
          <w:spacing w:val="-2"/>
          <w:w w:val="105"/>
        </w:rPr>
        <w:t>mitigation</w:t>
      </w:r>
    </w:p>
    <w:p>
      <w:pPr>
        <w:pStyle w:val="Heading2"/>
      </w:pPr>
      <w:r>
        <w:rPr>
          <w:b w:val="0"/>
        </w:rPr>
        <w:br w:type="column"/>
      </w:r>
      <w:r>
        <w:rPr>
          <w:color w:val="533377"/>
          <w:w w:val="125"/>
          <w:sz w:val="29"/>
        </w:rPr>
        <w:t>P</w:t>
      </w:r>
      <w:r>
        <w:rPr>
          <w:color w:val="533377"/>
          <w:w w:val="125"/>
        </w:rPr>
        <w:t>rofessional</w:t>
      </w:r>
      <w:r>
        <w:rPr>
          <w:color w:val="533377"/>
          <w:spacing w:val="63"/>
          <w:w w:val="125"/>
        </w:rPr>
        <w:t> </w:t>
      </w:r>
      <w:r>
        <w:rPr>
          <w:color w:val="533377"/>
          <w:spacing w:val="-2"/>
          <w:w w:val="125"/>
        </w:rPr>
        <w:t>Experience</w:t>
      </w:r>
    </w:p>
    <w:p>
      <w:pPr>
        <w:pStyle w:val="BodyText"/>
        <w:spacing w:line="276" w:lineRule="auto" w:before="249"/>
        <w:ind w:left="14"/>
      </w:pPr>
      <w:r>
        <w:rPr/>
        <w:t>HR</w:t>
      </w:r>
      <w:r>
        <w:rPr>
          <w:spacing w:val="52"/>
        </w:rPr>
        <w:t> </w:t>
      </w:r>
      <w:r>
        <w:rPr/>
        <w:t>COMPLIANCE</w:t>
      </w:r>
      <w:r>
        <w:rPr>
          <w:spacing w:val="52"/>
        </w:rPr>
        <w:t> </w:t>
      </w:r>
      <w:r>
        <w:rPr/>
        <w:t>SPECIALIST</w:t>
      </w:r>
      <w:r>
        <w:rPr>
          <w:spacing w:val="45"/>
        </w:rPr>
        <w:t> </w:t>
      </w:r>
      <w:r>
        <w:rPr>
          <w:w w:val="90"/>
        </w:rPr>
        <w:t>|</w:t>
      </w:r>
      <w:r>
        <w:rPr>
          <w:spacing w:val="52"/>
        </w:rPr>
        <w:t> </w:t>
      </w:r>
      <w:r>
        <w:rPr/>
        <w:t>CORPORATE</w:t>
      </w:r>
      <w:r>
        <w:rPr>
          <w:spacing w:val="53"/>
        </w:rPr>
        <w:t> </w:t>
      </w:r>
      <w:r>
        <w:rPr/>
        <w:t>COMPLIANCE</w:t>
      </w:r>
      <w:r>
        <w:rPr>
          <w:spacing w:val="52"/>
        </w:rPr>
        <w:t> </w:t>
      </w:r>
      <w:r>
        <w:rPr/>
        <w:t>SOLUTIONS</w:t>
      </w:r>
      <w:r>
        <w:rPr>
          <w:spacing w:val="52"/>
        </w:rPr>
        <w:t> </w:t>
      </w:r>
      <w:r>
        <w:rPr>
          <w:w w:val="90"/>
        </w:rPr>
        <w:t>|</w:t>
      </w:r>
      <w:r>
        <w:rPr>
          <w:spacing w:val="53"/>
        </w:rPr>
        <w:t> </w:t>
      </w:r>
      <w:r>
        <w:rPr/>
        <w:t>SAN</w:t>
      </w:r>
      <w:r>
        <w:rPr>
          <w:spacing w:val="80"/>
        </w:rPr>
        <w:t> </w:t>
      </w:r>
      <w:r>
        <w:rPr/>
        <w:t>FRANCISCO, CA</w:t>
      </w:r>
    </w:p>
    <w:p>
      <w:pPr>
        <w:pStyle w:val="BodyText"/>
        <w:spacing w:before="44"/>
        <w:ind w:left="14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2019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534"/>
      </w:pPr>
      <w:r>
        <w:rPr>
          <w:w w:val="105"/>
        </w:rPr>
        <w:t>Improved HR audit success rates by 30% by implementing new compliance </w:t>
      </w:r>
      <w:r>
        <w:rPr>
          <w:spacing w:val="-2"/>
          <w:w w:val="105"/>
        </w:rPr>
        <w:t>policies</w:t>
      </w:r>
    </w:p>
    <w:p>
      <w:pPr>
        <w:pStyle w:val="BodyText"/>
        <w:spacing w:line="379" w:lineRule="auto" w:before="103"/>
        <w:ind w:left="534" w:right="489"/>
      </w:pPr>
      <w:r>
        <w:rPr>
          <w:w w:val="105"/>
        </w:rPr>
        <w:t>Reduced legal risks by 20% through proactive HR training initiatives Lead company-wide compliance training programs for 500+ employees</w:t>
      </w:r>
    </w:p>
    <w:p>
      <w:pPr>
        <w:pStyle w:val="BodyText"/>
        <w:spacing w:line="326" w:lineRule="auto" w:before="120"/>
        <w:ind w:left="14"/>
      </w:pPr>
      <w:r>
        <w:rPr/>
        <w:t>HR</w:t>
      </w:r>
      <w:r>
        <w:rPr>
          <w:spacing w:val="40"/>
        </w:rPr>
        <w:t> </w:t>
      </w:r>
      <w:r>
        <w:rPr/>
        <w:t>GENERALIST</w:t>
      </w:r>
      <w:r>
        <w:rPr>
          <w:spacing w:val="40"/>
        </w:rPr>
        <w:t> </w:t>
      </w:r>
      <w:r>
        <w:rPr/>
        <w:t>(COMPLIANCE</w:t>
      </w:r>
      <w:r>
        <w:rPr>
          <w:spacing w:val="40"/>
        </w:rPr>
        <w:t> </w:t>
      </w:r>
      <w:r>
        <w:rPr/>
        <w:t>FOCUS)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LEGALTECH</w:t>
      </w:r>
      <w:r>
        <w:rPr>
          <w:spacing w:val="40"/>
        </w:rPr>
        <w:t> </w:t>
      </w:r>
      <w:r>
        <w:rPr/>
        <w:t>FIRM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SAN</w:t>
      </w:r>
      <w:r>
        <w:rPr>
          <w:spacing w:val="40"/>
        </w:rPr>
        <w:t> </w:t>
      </w:r>
      <w:r>
        <w:rPr/>
        <w:t>FRANCISCO,</w:t>
      </w:r>
      <w:r>
        <w:rPr>
          <w:spacing w:val="40"/>
        </w:rPr>
        <w:t> </w:t>
      </w:r>
      <w:r>
        <w:rPr/>
        <w:t>CA</w:t>
      </w:r>
      <w:r>
        <w:rPr>
          <w:spacing w:val="40"/>
        </w:rPr>
        <w:t> </w:t>
      </w:r>
      <w:r>
        <w:rPr/>
        <w:t>AUGUST 2014</w:t>
      </w:r>
      <w:r>
        <w:rPr>
          <w:spacing w:val="40"/>
        </w:rPr>
        <w:t> </w:t>
      </w:r>
      <w:r>
        <w:rPr/>
        <w:t>-</w:t>
      </w:r>
      <w:r>
        <w:rPr>
          <w:spacing w:val="40"/>
        </w:rPr>
        <w:t> </w:t>
      </w:r>
      <w:r>
        <w:rPr/>
        <w:t>JUNE</w:t>
      </w:r>
      <w:r>
        <w:rPr>
          <w:spacing w:val="40"/>
        </w:rPr>
        <w:t> </w:t>
      </w:r>
      <w:r>
        <w:rPr/>
        <w:t>2019</w:t>
      </w:r>
    </w:p>
    <w:p>
      <w:pPr>
        <w:pStyle w:val="BodyText"/>
        <w:spacing w:line="379" w:lineRule="auto" w:before="196"/>
        <w:ind w:left="534"/>
      </w:pPr>
      <w:r>
        <w:rPr/>
        <w:t>Managed</w:t>
      </w:r>
      <w:r>
        <w:rPr>
          <w:spacing w:val="40"/>
        </w:rPr>
        <w:t> </w:t>
      </w:r>
      <w:r>
        <w:rPr/>
        <w:t>HR</w:t>
      </w:r>
      <w:r>
        <w:rPr>
          <w:spacing w:val="40"/>
        </w:rPr>
        <w:t> </w:t>
      </w:r>
      <w:r>
        <w:rPr/>
        <w:t>compliance</w:t>
      </w:r>
      <w:r>
        <w:rPr>
          <w:spacing w:val="40"/>
        </w:rPr>
        <w:t> </w:t>
      </w:r>
      <w:r>
        <w:rPr/>
        <w:t>documentation,</w:t>
      </w:r>
      <w:r>
        <w:rPr>
          <w:spacing w:val="40"/>
        </w:rPr>
        <w:t> </w:t>
      </w:r>
      <w:r>
        <w:rPr/>
        <w:t>reducing</w:t>
      </w:r>
      <w:r>
        <w:rPr>
          <w:spacing w:val="40"/>
        </w:rPr>
        <w:t> </w:t>
      </w:r>
      <w:r>
        <w:rPr/>
        <w:t>audit</w:t>
      </w:r>
      <w:r>
        <w:rPr>
          <w:spacing w:val="40"/>
        </w:rPr>
        <w:t> </w:t>
      </w:r>
      <w:r>
        <w:rPr/>
        <w:t>discrepancies Developed</w:t>
      </w:r>
      <w:r>
        <w:rPr>
          <w:spacing w:val="29"/>
        </w:rPr>
        <w:t> </w:t>
      </w:r>
      <w:r>
        <w:rPr/>
        <w:t>employee</w:t>
      </w:r>
      <w:r>
        <w:rPr>
          <w:spacing w:val="29"/>
        </w:rPr>
        <w:t> </w:t>
      </w:r>
      <w:r>
        <w:rPr/>
        <w:t>handbook</w:t>
      </w:r>
      <w:r>
        <w:rPr>
          <w:spacing w:val="29"/>
        </w:rPr>
        <w:t> </w:t>
      </w:r>
      <w:r>
        <w:rPr/>
        <w:t>policies</w:t>
      </w:r>
      <w:r>
        <w:rPr>
          <w:spacing w:val="29"/>
        </w:rPr>
        <w:t> </w:t>
      </w:r>
      <w:r>
        <w:rPr/>
        <w:t>aligned</w:t>
      </w:r>
      <w:r>
        <w:rPr>
          <w:spacing w:val="29"/>
        </w:rPr>
        <w:t> </w:t>
      </w:r>
      <w:r>
        <w:rPr/>
        <w:t>with</w:t>
      </w:r>
      <w:r>
        <w:rPr>
          <w:spacing w:val="29"/>
        </w:rPr>
        <w:t> </w:t>
      </w:r>
      <w:r>
        <w:rPr/>
        <w:t>labor</w:t>
      </w:r>
      <w:r>
        <w:rPr>
          <w:spacing w:val="29"/>
        </w:rPr>
        <w:t> </w:t>
      </w:r>
      <w:r>
        <w:rPr/>
        <w:t>law</w:t>
      </w:r>
      <w:r>
        <w:rPr>
          <w:spacing w:val="29"/>
        </w:rPr>
        <w:t> </w:t>
      </w:r>
      <w:r>
        <w:rPr>
          <w:spacing w:val="-2"/>
        </w:rPr>
        <w:t>updates</w:t>
      </w:r>
    </w:p>
    <w:p>
      <w:pPr>
        <w:pStyle w:val="BodyText"/>
        <w:spacing w:line="259" w:lineRule="auto"/>
        <w:ind w:left="534"/>
      </w:pPr>
      <w:r>
        <w:rPr/>
        <w:t>Conducted</w:t>
      </w:r>
      <w:r>
        <w:rPr>
          <w:spacing w:val="40"/>
        </w:rPr>
        <w:t> </w:t>
      </w:r>
      <w:r>
        <w:rPr/>
        <w:t>internal</w:t>
      </w:r>
      <w:r>
        <w:rPr>
          <w:spacing w:val="40"/>
        </w:rPr>
        <w:t> </w:t>
      </w:r>
      <w:r>
        <w:rPr/>
        <w:t>investigations,</w:t>
      </w:r>
      <w:r>
        <w:rPr>
          <w:spacing w:val="40"/>
        </w:rPr>
        <w:t> </w:t>
      </w:r>
      <w:r>
        <w:rPr/>
        <w:t>ensuring</w:t>
      </w:r>
      <w:r>
        <w:rPr>
          <w:spacing w:val="40"/>
        </w:rPr>
        <w:t> </w:t>
      </w:r>
      <w:r>
        <w:rPr/>
        <w:t>compliance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workplace </w:t>
      </w:r>
      <w:r>
        <w:rPr>
          <w:spacing w:val="-2"/>
        </w:rPr>
        <w:t>policies</w:t>
      </w:r>
    </w:p>
    <w:p>
      <w:pPr>
        <w:pStyle w:val="Heading2"/>
        <w:spacing w:before="206"/>
      </w:pPr>
      <w:r>
        <w:rPr>
          <w:color w:val="533377"/>
          <w:spacing w:val="-2"/>
          <w:w w:val="130"/>
          <w:sz w:val="29"/>
        </w:rPr>
        <w:t>E</w:t>
      </w:r>
      <w:r>
        <w:rPr>
          <w:color w:val="533377"/>
          <w:spacing w:val="-2"/>
          <w:w w:val="130"/>
        </w:rPr>
        <w:t>ducation</w:t>
      </w:r>
    </w:p>
    <w:p>
      <w:pPr>
        <w:pStyle w:val="Heading2"/>
        <w:spacing w:after="0"/>
        <w:sectPr>
          <w:type w:val="continuous"/>
          <w:pgSz w:w="11920" w:h="16860"/>
          <w:pgMar w:top="980" w:bottom="280" w:left="283" w:right="708"/>
          <w:cols w:num="2" w:equalWidth="0">
            <w:col w:w="2566" w:space="1247"/>
            <w:col w:w="7116"/>
          </w:cols>
        </w:sectPr>
      </w:pPr>
    </w:p>
    <w:p>
      <w:pPr>
        <w:pStyle w:val="BodyText"/>
        <w:spacing w:before="29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276600"/>
                            <a:ext cx="247649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4787" y="4867275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5050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9837" y="3705225"/>
                            <a:ext cx="190500" cy="260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600325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190500" h="2600325">
                                <a:moveTo>
                                  <a:pt x="190500" y="1773072"/>
                                </a:moveTo>
                                <a:lnTo>
                                  <a:pt x="170040" y="1752600"/>
                                </a:lnTo>
                                <a:lnTo>
                                  <a:pt x="163347" y="1752600"/>
                                </a:lnTo>
                                <a:lnTo>
                                  <a:pt x="142875" y="1773072"/>
                                </a:lnTo>
                                <a:lnTo>
                                  <a:pt x="142875" y="1776641"/>
                                </a:lnTo>
                                <a:lnTo>
                                  <a:pt x="142875" y="1779765"/>
                                </a:lnTo>
                                <a:lnTo>
                                  <a:pt x="163347" y="1800225"/>
                                </a:lnTo>
                                <a:lnTo>
                                  <a:pt x="170040" y="1800225"/>
                                </a:lnTo>
                                <a:lnTo>
                                  <a:pt x="190500" y="1779765"/>
                                </a:lnTo>
                                <a:lnTo>
                                  <a:pt x="190500" y="1773072"/>
                                </a:lnTo>
                                <a:close/>
                              </a:path>
                              <a:path w="190500" h="2600325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600325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2600325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60032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6003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064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8" o:title=""/>
                </v:shape>
                <v:shape style="position:absolute;left:480;top:5160;width:390;height:360" type="#_x0000_t75" id="docshape4" stroked="false">
                  <v:imagedata r:id="rId9" o:title=""/>
                </v:shape>
                <v:shape style="position:absolute;left:479;top:7665;width:75;height:1530" id="docshape5" coordorigin="480,7665" coordsize="75,1530" path="m555,9152l554,9147,550,9138,548,9134,541,9127,537,9125,528,9121,523,9120,512,9120,507,9121,498,9125,494,9127,487,9134,485,9138,481,9147,480,9152,480,9158,480,9163,481,9168,485,9177,487,9181,494,9188,498,9190,507,9194,512,9195,523,9195,528,9194,537,9190,541,9188,548,9181,550,9177,554,9168,555,9163,555,9152xm555,8777l554,8772,550,8763,548,8759,541,8752,537,8750,528,8746,523,8745,512,8745,507,8746,498,8750,494,8752,487,8759,485,8763,481,8772,480,8777,480,8783,480,8788,481,8793,485,8802,487,8806,494,8813,498,8815,507,8819,512,8820,523,8820,528,8819,537,8815,541,8813,548,8806,550,8802,554,8793,555,8788,555,8777xm555,8417l554,8412,550,8403,548,8399,541,8392,537,8390,528,8386,523,8385,512,8385,507,8386,498,8390,494,8392,487,8399,485,8403,481,8412,480,8417,480,8423,480,8428,481,8433,485,8442,487,8446,494,8453,498,8455,507,8459,512,8460,523,8460,528,8459,537,8455,541,8453,548,8446,550,8442,554,8433,555,8428,555,8417xm555,8057l554,8052,550,8043,548,8039,541,8032,537,8030,528,8026,523,8025,512,8025,507,8026,498,8030,494,8032,487,8039,485,8043,481,8052,480,8057,480,8063,480,8068,481,8073,485,8082,487,8086,494,8093,498,8095,507,8099,512,8100,523,8100,528,8099,537,8095,541,8093,548,8086,550,8082,554,8073,555,8068,555,8057xm555,7697l554,7692,550,7683,548,7679,541,7672,537,7670,528,7666,523,7665,512,7665,507,7666,498,7670,494,7672,487,7679,485,7683,481,7692,480,7697,480,7703,480,7708,481,7713,485,7722,487,7726,494,7733,498,7735,507,7739,512,7740,523,7740,528,7739,537,7735,541,7733,548,7726,550,7722,554,7713,555,7708,555,7697xe" filled="true" fillcolor="#ffffff" stroked="false">
                  <v:path arrowok="t"/>
                  <v:fill type="solid"/>
                </v:shape>
                <v:rect style="position:absolute;left:3855;top:3945;width:7590;height:15" id="docshape6" filled="true" fillcolor="#000000" stroked="false">
                  <v:fill opacity="32899f" type="solid"/>
                </v:rect>
                <v:shape style="position:absolute;left:4109;top:5835;width:300;height:4095" id="docshape7" coordorigin="4110,5835" coordsize="300,4095" path="m4185,9887l4184,9882,4180,9873,4178,9869,4171,9862,4167,9860,4158,9856,4153,9855,4142,9855,4137,9856,4128,9860,4124,9862,4117,9869,4115,9873,4111,9882,4110,9887,4110,9893,4110,9898,4111,9903,4115,9912,4117,9916,4124,9923,4128,9925,4137,9929,4142,9930,4153,9930,4158,9929,4167,9925,4171,9923,4178,9916,4180,9912,4184,9903,4185,9898,4185,9887xm4410,8627l4409,8622,4405,8613,4403,8609,4396,8602,4392,8600,4383,8596,4378,8595,4367,8595,4362,8596,4353,8600,4349,8602,4342,8609,4340,8613,4336,8622,4335,8627,4335,8633,4335,8638,4336,8643,4340,8652,4342,8656,4349,8663,4353,8665,4362,8669,4367,8670,4378,8670,4383,8669,4392,8665,4396,8663,4403,8656,4405,8652,4409,8643,4410,8638,4410,8627xm4410,8297l4409,8292,4405,8283,4403,8279,4396,8272,4392,8270,4383,8266,4378,8265,4367,8265,4362,8266,4353,8270,4349,8272,4342,8279,4340,8283,4336,8292,4335,8297,4335,8303,4335,8308,4336,8313,4340,8322,4342,8326,4349,8333,4353,8335,4362,8339,4367,8340,4378,8340,4383,8339,4392,8335,4396,8333,4403,8326,4405,8322,4409,8313,4410,8308,4410,8297xm4410,7967l4409,7962,4405,7953,4403,7949,4396,7942,4392,7940,4383,7936,4378,7935,4367,7935,4362,7936,4353,7940,4349,7942,4342,7949,4340,7953,4336,7962,4335,7967,4335,7973,4335,7978,4336,7983,4340,7992,4342,7996,4349,8003,4353,8005,4362,8009,4367,8010,4378,8010,4383,8009,4392,8005,4396,8003,4403,7996,4405,7992,4409,7983,4410,7978,4410,7967xm4410,6752l4409,6747,4405,6738,4403,6734,4396,6727,4392,6725,4383,6721,4378,6720,4367,6720,4362,6721,4353,6725,4349,6727,4342,6734,4340,6738,4336,6747,4335,6752,4335,6758,4335,6763,4336,6768,4340,6777,4342,6781,4349,6788,4353,6790,4362,6794,4367,6795,4378,6795,4383,6794,4392,6790,4396,6788,4403,6781,4405,6777,4409,6768,4410,6763,4410,6752xm4410,6422l4409,6417,4405,6408,4403,6404,4396,6397,4392,6395,4383,6391,4378,6390,4367,6390,4362,6391,4353,6395,4349,6397,4342,6404,4340,6408,4336,6417,4335,6422,4335,6428,4335,6433,4336,6438,4340,6447,4342,6451,4349,6458,4353,6460,4362,6464,4367,6465,4378,6465,4383,6464,4392,6460,4396,6458,4403,6451,4405,6447,4409,6438,4410,6433,4410,6422xm4410,5867l4409,5862,4405,5853,4403,5849,4396,5842,4392,5840,4383,5836,4378,5835,4367,5835,4362,5836,4353,5840,4349,5842,4342,5849,4340,5853,4336,5862,4335,5867,4335,5873,4335,5878,4336,5883,4340,5892,4342,5896,4349,5903,4353,5905,4362,5909,4367,5910,4378,5910,4383,5909,4392,5905,4396,5903,4403,5896,4405,5892,4409,5883,4410,5878,4410,58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26" w:lineRule="auto"/>
        <w:ind w:left="4124" w:right="2271"/>
      </w:pPr>
      <w:r>
        <w:rPr/>
        <w:t>Bachelor of Science in Business Administration</w:t>
      </w:r>
      <w:r>
        <w:rPr>
          <w:spacing w:val="80"/>
        </w:rPr>
        <w:t> </w:t>
      </w:r>
      <w:r>
        <w:rPr/>
        <w:t>University of California, Berkeley </w:t>
      </w:r>
      <w:r>
        <w:rPr>
          <w:w w:val="90"/>
        </w:rPr>
        <w:t>| </w:t>
      </w:r>
      <w:r>
        <w:rPr/>
        <w:t>2014</w:t>
      </w:r>
    </w:p>
    <w:p>
      <w:pPr>
        <w:spacing w:before="164"/>
        <w:ind w:left="0" w:right="1680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533377"/>
          <w:spacing w:val="-2"/>
          <w:w w:val="130"/>
          <w:sz w:val="29"/>
        </w:rPr>
        <w:t>R</w:t>
      </w:r>
      <w:r>
        <w:rPr>
          <w:rFonts w:ascii="Calibri"/>
          <w:b/>
          <w:color w:val="533377"/>
          <w:spacing w:val="-2"/>
          <w:w w:val="130"/>
          <w:sz w:val="26"/>
        </w:rPr>
        <w:t>eferences</w:t>
      </w:r>
    </w:p>
    <w:sectPr>
      <w:type w:val="continuous"/>
      <w:pgSz w:w="11920" w:h="16860"/>
      <w:pgMar w:top="98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2"/>
      <w:ind w:left="14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3"/>
      <w:ind w:left="14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4278"/>
      <w:jc w:val="center"/>
      <w:outlineLvl w:val="4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2026-02-28T03:33:05Z</dcterms:created>
  <dcterms:modified xsi:type="dcterms:W3CDTF">2026-02-28T03:33:05Z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