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518"/>
        <w:rPr>
          <w:rFonts w:ascii="Times New Roman"/>
          <w:sz w:val="67"/>
        </w:rPr>
      </w:pPr>
    </w:p>
    <w:p>
      <w:pPr>
        <w:spacing w:before="0"/>
        <w:ind w:left="23" w:right="0" w:firstLine="0"/>
        <w:jc w:val="left"/>
        <w:rPr>
          <w:sz w:val="67"/>
        </w:rPr>
      </w:pPr>
      <w:r>
        <w:rPr>
          <w:b/>
          <w:color w:val="FF640D"/>
          <w:spacing w:val="11"/>
          <w:sz w:val="67"/>
        </w:rPr>
        <w:t>Logan</w:t>
      </w:r>
      <w:r>
        <w:rPr>
          <w:b/>
          <w:color w:val="FF640D"/>
          <w:spacing w:val="9"/>
          <w:sz w:val="67"/>
        </w:rPr>
        <w:t> </w:t>
      </w:r>
      <w:r>
        <w:rPr>
          <w:color w:val="FF640D"/>
          <w:spacing w:val="6"/>
          <w:sz w:val="67"/>
        </w:rPr>
        <w:t>Hall</w:t>
      </w:r>
    </w:p>
    <w:p>
      <w:pPr>
        <w:pStyle w:val="Heading1"/>
      </w:pPr>
      <w:r>
        <w:rPr>
          <w:color w:val="FF640D"/>
        </w:rPr>
        <w:t>Financial</w:t>
      </w:r>
      <w:r>
        <w:rPr>
          <w:color w:val="FF640D"/>
          <w:spacing w:val="1"/>
        </w:rPr>
        <w:t> </w:t>
      </w:r>
      <w:r>
        <w:rPr>
          <w:color w:val="FF640D"/>
        </w:rPr>
        <w:t>Reporting</w:t>
      </w:r>
      <w:r>
        <w:rPr>
          <w:color w:val="FF640D"/>
          <w:spacing w:val="-11"/>
        </w:rPr>
        <w:t> </w:t>
      </w:r>
      <w:r>
        <w:rPr>
          <w:color w:val="FF640D"/>
          <w:spacing w:val="-2"/>
        </w:rPr>
        <w:t>Accountant</w:t>
      </w:r>
    </w:p>
    <w:p>
      <w:pPr>
        <w:spacing w:before="191"/>
        <w:ind w:left="154" w:right="0" w:firstLine="0"/>
        <w:jc w:val="left"/>
        <w:rPr>
          <w:sz w:val="13"/>
        </w:rPr>
      </w:pPr>
      <w:r>
        <w:rPr>
          <w:sz w:val="13"/>
        </w:rPr>
        <w:t>(123)</w:t>
      </w:r>
      <w:r>
        <w:rPr>
          <w:spacing w:val="13"/>
          <w:sz w:val="13"/>
        </w:rPr>
        <w:t> </w:t>
      </w:r>
      <w:r>
        <w:rPr>
          <w:sz w:val="13"/>
        </w:rPr>
        <w:t>456-7890</w:t>
      </w:r>
      <w:r>
        <w:rPr>
          <w:spacing w:val="31"/>
          <w:sz w:val="13"/>
        </w:rPr>
        <w:t> </w:t>
      </w:r>
      <w:r>
        <w:rPr>
          <w:sz w:val="9"/>
        </w:rPr>
        <w:t>•</w:t>
      </w:r>
      <w:r>
        <w:rPr>
          <w:spacing w:val="42"/>
          <w:sz w:val="9"/>
        </w:rPr>
        <w:t> </w:t>
      </w:r>
      <w:r>
        <w:rPr>
          <w:sz w:val="13"/>
        </w:rPr>
        <w:t>City,</w:t>
      </w:r>
      <w:r>
        <w:rPr>
          <w:spacing w:val="14"/>
          <w:sz w:val="13"/>
        </w:rPr>
        <w:t> </w:t>
      </w:r>
      <w:r>
        <w:rPr>
          <w:sz w:val="13"/>
        </w:rPr>
        <w:t>ST</w:t>
      </w:r>
      <w:r>
        <w:rPr>
          <w:spacing w:val="10"/>
          <w:sz w:val="13"/>
        </w:rPr>
        <w:t> </w:t>
      </w:r>
      <w:r>
        <w:rPr>
          <w:sz w:val="13"/>
        </w:rPr>
        <w:t>12345</w:t>
      </w:r>
      <w:r>
        <w:rPr>
          <w:spacing w:val="32"/>
          <w:sz w:val="13"/>
        </w:rPr>
        <w:t> </w:t>
      </w:r>
      <w:r>
        <w:rPr>
          <w:sz w:val="9"/>
        </w:rPr>
        <w:t>•</w:t>
      </w:r>
      <w:r>
        <w:rPr>
          <w:spacing w:val="42"/>
          <w:sz w:val="9"/>
        </w:rPr>
        <w:t> </w:t>
      </w:r>
      <w:hyperlink r:id="rId5">
        <w:r>
          <w:rPr>
            <w:spacing w:val="-2"/>
            <w:sz w:val="13"/>
          </w:rPr>
          <w:t>email@example.com</w:t>
        </w:r>
      </w:hyperlink>
    </w:p>
    <w:p>
      <w:pPr>
        <w:pStyle w:val="BodyText"/>
      </w:pPr>
    </w:p>
    <w:p>
      <w:pPr>
        <w:pStyle w:val="BodyText"/>
      </w:pPr>
    </w:p>
    <w:p>
      <w:pPr>
        <w:pStyle w:val="BodyText"/>
        <w:spacing w:before="49"/>
      </w:pPr>
    </w:p>
    <w:p>
      <w:pPr>
        <w:pStyle w:val="BodyText"/>
        <w:spacing w:before="1"/>
        <w:ind w:left="23"/>
      </w:pPr>
      <w:r>
        <w:rPr/>
        <w:t>Financial</w:t>
      </w:r>
      <w:r>
        <w:rPr>
          <w:spacing w:val="16"/>
        </w:rPr>
        <w:t> </w:t>
      </w:r>
      <w:r>
        <w:rPr/>
        <w:t>Reporting</w:t>
      </w:r>
      <w:r>
        <w:rPr>
          <w:spacing w:val="6"/>
        </w:rPr>
        <w:t> </w:t>
      </w:r>
      <w:r>
        <w:rPr/>
        <w:t>Accountant</w:t>
      </w:r>
      <w:r>
        <w:rPr>
          <w:spacing w:val="17"/>
        </w:rPr>
        <w:t> </w:t>
      </w:r>
      <w:r>
        <w:rPr/>
        <w:t>with</w:t>
      </w:r>
      <w:r>
        <w:rPr>
          <w:spacing w:val="16"/>
        </w:rPr>
        <w:t> </w:t>
      </w:r>
      <w:r>
        <w:rPr/>
        <w:t>5</w:t>
      </w:r>
      <w:r>
        <w:rPr>
          <w:spacing w:val="16"/>
        </w:rPr>
        <w:t> </w:t>
      </w:r>
      <w:r>
        <w:rPr/>
        <w:t>years</w:t>
      </w:r>
      <w:r>
        <w:rPr>
          <w:spacing w:val="17"/>
        </w:rPr>
        <w:t> </w:t>
      </w:r>
      <w:r>
        <w:rPr/>
        <w:t>of</w:t>
      </w:r>
      <w:r>
        <w:rPr>
          <w:spacing w:val="16"/>
        </w:rPr>
        <w:t> </w:t>
      </w:r>
      <w:r>
        <w:rPr>
          <w:spacing w:val="-2"/>
        </w:rPr>
        <w:t>experience</w:t>
      </w:r>
    </w:p>
    <w:p>
      <w:pPr>
        <w:pStyle w:val="BodyText"/>
        <w:spacing w:before="22"/>
        <w:ind w:left="23"/>
      </w:pPr>
      <w:r>
        <w:rPr/>
        <w:t>CPA</w:t>
      </w:r>
      <w:r>
        <w:rPr>
          <w:spacing w:val="8"/>
        </w:rPr>
        <w:t> </w:t>
      </w:r>
      <w:r>
        <w:rPr/>
        <w:t>specializing</w:t>
      </w:r>
      <w:r>
        <w:rPr>
          <w:spacing w:val="19"/>
        </w:rPr>
        <w:t> </w:t>
      </w:r>
      <w:r>
        <w:rPr/>
        <w:t>in</w:t>
      </w:r>
      <w:r>
        <w:rPr>
          <w:spacing w:val="19"/>
        </w:rPr>
        <w:t> </w:t>
      </w:r>
      <w:r>
        <w:rPr/>
        <w:t>external</w:t>
      </w:r>
      <w:r>
        <w:rPr>
          <w:spacing w:val="18"/>
        </w:rPr>
        <w:t> </w:t>
      </w:r>
      <w:r>
        <w:rPr/>
        <w:t>reporting,</w:t>
      </w:r>
      <w:r>
        <w:rPr>
          <w:spacing w:val="19"/>
        </w:rPr>
        <w:t> </w:t>
      </w:r>
      <w:r>
        <w:rPr/>
        <w:t>SEC</w:t>
      </w:r>
      <w:r>
        <w:rPr>
          <w:spacing w:val="19"/>
        </w:rPr>
        <w:t> </w:t>
      </w:r>
      <w:r>
        <w:rPr/>
        <w:t>filings,</w:t>
      </w:r>
      <w:r>
        <w:rPr>
          <w:spacing w:val="19"/>
        </w:rPr>
        <w:t> </w:t>
      </w:r>
      <w:r>
        <w:rPr/>
        <w:t>and</w:t>
      </w:r>
      <w:r>
        <w:rPr>
          <w:spacing w:val="18"/>
        </w:rPr>
        <w:t> </w:t>
      </w:r>
      <w:r>
        <w:rPr/>
        <w:t>technical</w:t>
      </w:r>
      <w:r>
        <w:rPr>
          <w:spacing w:val="19"/>
        </w:rPr>
        <w:t> </w:t>
      </w:r>
      <w:r>
        <w:rPr/>
        <w:t>accounting</w:t>
      </w:r>
      <w:r>
        <w:rPr>
          <w:spacing w:val="19"/>
        </w:rPr>
        <w:t> </w:t>
      </w:r>
      <w:r>
        <w:rPr/>
        <w:t>across</w:t>
      </w:r>
      <w:r>
        <w:rPr>
          <w:spacing w:val="19"/>
        </w:rPr>
        <w:t> </w:t>
      </w:r>
      <w:r>
        <w:rPr/>
        <w:t>public</w:t>
      </w:r>
      <w:r>
        <w:rPr>
          <w:spacing w:val="19"/>
        </w:rPr>
        <w:t> </w:t>
      </w:r>
      <w:r>
        <w:rPr/>
        <w:t>companies</w:t>
      </w:r>
      <w:r>
        <w:rPr>
          <w:spacing w:val="18"/>
        </w:rPr>
        <w:t> </w:t>
      </w:r>
      <w:r>
        <w:rPr/>
        <w:t>and</w:t>
      </w:r>
      <w:r>
        <w:rPr>
          <w:spacing w:val="19"/>
        </w:rPr>
        <w:t> </w:t>
      </w:r>
      <w:r>
        <w:rPr/>
        <w:t>high-compliance</w:t>
      </w:r>
      <w:r>
        <w:rPr>
          <w:spacing w:val="19"/>
        </w:rPr>
        <w:t> </w:t>
      </w:r>
      <w:r>
        <w:rPr>
          <w:spacing w:val="-2"/>
        </w:rPr>
        <w:t>environments.</w:t>
      </w:r>
    </w:p>
    <w:p>
      <w:pPr>
        <w:pStyle w:val="BodyText"/>
        <w:spacing w:before="51"/>
      </w:pPr>
    </w:p>
    <w:p>
      <w:pPr>
        <w:pStyle w:val="Heading2"/>
        <w:spacing w:before="0"/>
      </w:pPr>
      <w:r>
        <w:rPr>
          <w:color w:val="FF640D"/>
          <w:sz w:val="24"/>
        </w:rPr>
        <w:t>K</w:t>
      </w:r>
      <w:r>
        <w:rPr>
          <w:color w:val="FF640D"/>
        </w:rPr>
        <w:t>ey</w:t>
      </w:r>
      <w:r>
        <w:rPr>
          <w:color w:val="FF640D"/>
          <w:spacing w:val="25"/>
        </w:rPr>
        <w:t> </w:t>
      </w:r>
      <w:r>
        <w:rPr>
          <w:color w:val="FF640D"/>
          <w:spacing w:val="-2"/>
        </w:rPr>
        <w:t>Skills</w:t>
      </w:r>
    </w:p>
    <w:p>
      <w:pPr>
        <w:pStyle w:val="Heading2"/>
        <w:spacing w:after="0"/>
        <w:sectPr>
          <w:type w:val="continuous"/>
          <w:pgSz w:w="11920" w:h="16860"/>
          <w:pgMar w:top="0" w:bottom="0" w:left="850" w:right="1559"/>
        </w:sectPr>
      </w:pPr>
    </w:p>
    <w:p>
      <w:pPr>
        <w:pStyle w:val="BodyText"/>
        <w:spacing w:before="15"/>
        <w:rPr>
          <w:b/>
        </w:rPr>
      </w:pP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326" w:lineRule="exact" w:before="1" w:after="0"/>
        <w:ind w:left="654" w:right="0" w:hanging="296"/>
        <w:jc w:val="left"/>
        <w:rPr>
          <w:position w:val="-4"/>
          <w:sz w:val="31"/>
        </w:rPr>
      </w:pPr>
      <w:r>
        <w:rPr>
          <w:sz w:val="15"/>
        </w:rPr>
        <w:t>SEC</w:t>
      </w:r>
      <w:r>
        <w:rPr>
          <w:spacing w:val="8"/>
          <w:sz w:val="15"/>
        </w:rPr>
        <w:t> </w:t>
      </w:r>
      <w:r>
        <w:rPr>
          <w:spacing w:val="-2"/>
          <w:sz w:val="15"/>
        </w:rPr>
        <w:t>Filings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298" w:lineRule="exact" w:before="0" w:after="0"/>
        <w:ind w:left="654" w:right="0" w:hanging="296"/>
        <w:jc w:val="left"/>
        <w:rPr>
          <w:position w:val="-5"/>
          <w:sz w:val="31"/>
        </w:rPr>
      </w:pPr>
      <w:r>
        <w:rPr>
          <w:sz w:val="15"/>
        </w:rPr>
        <w:t>GAAP</w:t>
      </w:r>
      <w:r>
        <w:rPr>
          <w:spacing w:val="7"/>
          <w:sz w:val="15"/>
        </w:rPr>
        <w:t> </w:t>
      </w:r>
      <w:r>
        <w:rPr>
          <w:spacing w:val="-2"/>
          <w:sz w:val="15"/>
        </w:rPr>
        <w:t>Compliance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328" w:lineRule="exact" w:before="0" w:after="0"/>
        <w:ind w:left="654" w:right="0" w:hanging="296"/>
        <w:jc w:val="left"/>
        <w:rPr>
          <w:position w:val="-5"/>
          <w:sz w:val="31"/>
        </w:rPr>
      </w:pPr>
      <w:r>
        <w:rPr>
          <w:spacing w:val="-2"/>
          <w:sz w:val="15"/>
        </w:rPr>
        <w:t>Documentation</w:t>
      </w:r>
    </w:p>
    <w:p>
      <w:pPr>
        <w:pStyle w:val="BodyText"/>
        <w:spacing w:before="15"/>
      </w:pPr>
      <w:r>
        <w:rPr/>
        <w:br w:type="column"/>
      </w:r>
      <w:r>
        <w:rPr/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326" w:lineRule="exact" w:before="1" w:after="0"/>
        <w:ind w:left="654" w:right="0" w:hanging="296"/>
        <w:jc w:val="left"/>
        <w:rPr>
          <w:position w:val="-4"/>
          <w:sz w:val="31"/>
        </w:rPr>
      </w:pPr>
      <w:r>
        <w:rPr>
          <w:sz w:val="15"/>
        </w:rPr>
        <w:t>Financial</w:t>
      </w:r>
      <w:r>
        <w:rPr>
          <w:spacing w:val="22"/>
          <w:sz w:val="15"/>
        </w:rPr>
        <w:t> </w:t>
      </w:r>
      <w:r>
        <w:rPr>
          <w:spacing w:val="-2"/>
          <w:sz w:val="15"/>
        </w:rPr>
        <w:t>Disclosures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326" w:lineRule="exact" w:before="0" w:after="0"/>
        <w:ind w:left="654" w:right="0" w:hanging="296"/>
        <w:jc w:val="left"/>
        <w:rPr>
          <w:position w:val="-5"/>
          <w:sz w:val="31"/>
        </w:rPr>
      </w:pPr>
      <w:r>
        <w:rPr>
          <w:sz w:val="15"/>
        </w:rPr>
        <w:t>Technical</w:t>
      </w:r>
      <w:r>
        <w:rPr>
          <w:spacing w:val="-2"/>
          <w:sz w:val="15"/>
        </w:rPr>
        <w:t> Accounting</w:t>
      </w:r>
    </w:p>
    <w:p>
      <w:pPr>
        <w:pStyle w:val="ListParagraph"/>
        <w:spacing w:after="0" w:line="326" w:lineRule="exact"/>
        <w:jc w:val="left"/>
        <w:rPr>
          <w:position w:val="-5"/>
          <w:sz w:val="31"/>
        </w:rPr>
        <w:sectPr>
          <w:type w:val="continuous"/>
          <w:pgSz w:w="11920" w:h="16860"/>
          <w:pgMar w:top="0" w:bottom="0" w:left="850" w:right="1559"/>
          <w:cols w:num="2" w:equalWidth="0">
            <w:col w:w="1980" w:space="1425"/>
            <w:col w:w="6106"/>
          </w:cols>
        </w:sectPr>
      </w:pPr>
    </w:p>
    <w:p>
      <w:pPr>
        <w:pStyle w:val="Heading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47650" cy="10704830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247650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7650" h="10704830">
                              <a:moveTo>
                                <a:pt x="247637" y="0"/>
                              </a:moveTo>
                              <a:lnTo>
                                <a:pt x="0" y="0"/>
                              </a:lnTo>
                              <a:lnTo>
                                <a:pt x="0" y="7677150"/>
                              </a:lnTo>
                              <a:lnTo>
                                <a:pt x="0" y="10704576"/>
                              </a:lnTo>
                              <a:lnTo>
                                <a:pt x="247637" y="10704576"/>
                              </a:lnTo>
                              <a:lnTo>
                                <a:pt x="247637" y="7677150"/>
                              </a:lnTo>
                              <a:lnTo>
                                <a:pt x="24763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>
                            <a:alpha val="5019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-.000035pt;width:19.5pt;height:842.9pt;mso-position-horizontal-relative:page;mso-position-vertical-relative:page;z-index:15728640" id="docshape1" coordorigin="0,0" coordsize="390,16858" path="m390,0l0,0,0,12090,0,16858,390,16858,390,12090,390,0xe" filled="true" fillcolor="#ff640d" stroked="false">
                <v:path arrowok="t"/>
                <v:fill opacity="32899f"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552449</wp:posOffset>
                </wp:positionH>
                <wp:positionV relativeFrom="page">
                  <wp:posOffset>3505199</wp:posOffset>
                </wp:positionV>
                <wp:extent cx="6534150" cy="95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275.999969pt;width:514.499959pt;height:.75pt;mso-position-horizontal-relative:page;mso-position-vertical-relative:page;z-index:15729152" id="docshape2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552449</wp:posOffset>
                </wp:positionH>
                <wp:positionV relativeFrom="page">
                  <wp:posOffset>5572124</wp:posOffset>
                </wp:positionV>
                <wp:extent cx="6534150" cy="95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438.749969pt;width:514.499959pt;height:.75pt;mso-position-horizontal-relative:page;mso-position-vertical-relative:page;z-index:15729664" id="docshape3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552449</wp:posOffset>
                </wp:positionH>
                <wp:positionV relativeFrom="page">
                  <wp:posOffset>2057399</wp:posOffset>
                </wp:positionV>
                <wp:extent cx="6534150" cy="95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161.999985pt;width:514.499959pt;height:.75pt;mso-position-horizontal-relative:page;mso-position-vertical-relative:page;z-index:15730176" id="docshape4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>
          <w:color w:val="FF640D"/>
          <w:spacing w:val="2"/>
          <w:sz w:val="24"/>
        </w:rPr>
        <w:t>P</w:t>
      </w:r>
      <w:r>
        <w:rPr>
          <w:color w:val="FF640D"/>
          <w:spacing w:val="2"/>
        </w:rPr>
        <w:t>rofessional</w:t>
      </w:r>
      <w:r>
        <w:rPr>
          <w:color w:val="FF640D"/>
          <w:spacing w:val="64"/>
        </w:rPr>
        <w:t> </w:t>
      </w:r>
      <w:r>
        <w:rPr>
          <w:color w:val="FF640D"/>
          <w:spacing w:val="-2"/>
        </w:rPr>
        <w:t>Experience</w:t>
      </w:r>
    </w:p>
    <w:p>
      <w:pPr>
        <w:pStyle w:val="BodyText"/>
        <w:spacing w:before="58"/>
        <w:rPr>
          <w:b/>
          <w:sz w:val="20"/>
        </w:rPr>
      </w:pPr>
    </w:p>
    <w:p>
      <w:pPr>
        <w:pStyle w:val="BodyText"/>
        <w:spacing w:line="261" w:lineRule="auto"/>
        <w:ind w:left="358" w:right="4897"/>
      </w:pPr>
      <w:r>
        <w:rPr/>
        <w:t>Financial Reporting Accountant </w:t>
      </w:r>
      <w:r>
        <w:rPr>
          <w:rFonts w:ascii="Nueva Std Extended" w:hAnsi="Nueva Std Extended"/>
        </w:rPr>
        <w:t>|</w:t>
      </w:r>
      <w:r>
        <w:rPr>
          <w:rFonts w:ascii="Nueva Std Extended" w:hAnsi="Nueva Std Extended"/>
          <w:spacing w:val="31"/>
        </w:rPr>
        <w:t> </w:t>
      </w:r>
      <w:r>
        <w:rPr/>
        <w:t>Public Company, City, ST February 2022 – Present</w:t>
      </w:r>
    </w:p>
    <w:p>
      <w:pPr>
        <w:pStyle w:val="ListParagraph"/>
        <w:numPr>
          <w:ilvl w:val="1"/>
          <w:numId w:val="1"/>
        </w:numPr>
        <w:tabs>
          <w:tab w:pos="784" w:val="left" w:leader="none"/>
        </w:tabs>
        <w:spacing w:line="326" w:lineRule="exact" w:before="163" w:after="0"/>
        <w:ind w:left="784" w:right="0" w:hanging="296"/>
        <w:jc w:val="left"/>
        <w:rPr>
          <w:position w:val="-4"/>
          <w:sz w:val="31"/>
        </w:rPr>
      </w:pPr>
      <w:r>
        <w:rPr>
          <w:sz w:val="15"/>
        </w:rPr>
        <w:t>Prepared</w:t>
      </w:r>
      <w:r>
        <w:rPr>
          <w:spacing w:val="14"/>
          <w:sz w:val="15"/>
        </w:rPr>
        <w:t> </w:t>
      </w:r>
      <w:r>
        <w:rPr>
          <w:sz w:val="15"/>
        </w:rPr>
        <w:t>10-Q</w:t>
      </w:r>
      <w:r>
        <w:rPr>
          <w:spacing w:val="14"/>
          <w:sz w:val="15"/>
        </w:rPr>
        <w:t> </w:t>
      </w:r>
      <w:r>
        <w:rPr>
          <w:sz w:val="15"/>
        </w:rPr>
        <w:t>and</w:t>
      </w:r>
      <w:r>
        <w:rPr>
          <w:spacing w:val="14"/>
          <w:sz w:val="15"/>
        </w:rPr>
        <w:t> </w:t>
      </w:r>
      <w:r>
        <w:rPr>
          <w:sz w:val="15"/>
        </w:rPr>
        <w:t>10-K</w:t>
      </w:r>
      <w:r>
        <w:rPr>
          <w:spacing w:val="15"/>
          <w:sz w:val="15"/>
        </w:rPr>
        <w:t> </w:t>
      </w:r>
      <w:r>
        <w:rPr>
          <w:sz w:val="15"/>
        </w:rPr>
        <w:t>filings</w:t>
      </w:r>
      <w:r>
        <w:rPr>
          <w:spacing w:val="14"/>
          <w:sz w:val="15"/>
        </w:rPr>
        <w:t> </w:t>
      </w:r>
      <w:r>
        <w:rPr>
          <w:sz w:val="15"/>
        </w:rPr>
        <w:t>in</w:t>
      </w:r>
      <w:r>
        <w:rPr>
          <w:spacing w:val="14"/>
          <w:sz w:val="15"/>
        </w:rPr>
        <w:t> </w:t>
      </w:r>
      <w:r>
        <w:rPr>
          <w:sz w:val="15"/>
        </w:rPr>
        <w:t>accordance</w:t>
      </w:r>
      <w:r>
        <w:rPr>
          <w:spacing w:val="14"/>
          <w:sz w:val="15"/>
        </w:rPr>
        <w:t> </w:t>
      </w:r>
      <w:r>
        <w:rPr>
          <w:sz w:val="15"/>
        </w:rPr>
        <w:t>with</w:t>
      </w:r>
      <w:r>
        <w:rPr>
          <w:spacing w:val="15"/>
          <w:sz w:val="15"/>
        </w:rPr>
        <w:t> </w:t>
      </w:r>
      <w:r>
        <w:rPr>
          <w:sz w:val="15"/>
        </w:rPr>
        <w:t>SEC</w:t>
      </w:r>
      <w:r>
        <w:rPr>
          <w:spacing w:val="14"/>
          <w:sz w:val="15"/>
        </w:rPr>
        <w:t> </w:t>
      </w:r>
      <w:r>
        <w:rPr>
          <w:spacing w:val="-2"/>
          <w:sz w:val="15"/>
        </w:rPr>
        <w:t>guidelines</w:t>
      </w:r>
    </w:p>
    <w:p>
      <w:pPr>
        <w:pStyle w:val="ListParagraph"/>
        <w:numPr>
          <w:ilvl w:val="1"/>
          <w:numId w:val="1"/>
        </w:numPr>
        <w:tabs>
          <w:tab w:pos="784" w:val="left" w:leader="none"/>
        </w:tabs>
        <w:spacing w:line="326" w:lineRule="exact" w:before="0" w:after="0"/>
        <w:ind w:left="784" w:right="0" w:hanging="296"/>
        <w:jc w:val="left"/>
        <w:rPr>
          <w:position w:val="-5"/>
          <w:sz w:val="31"/>
        </w:rPr>
      </w:pPr>
      <w:r>
        <w:rPr>
          <w:sz w:val="15"/>
        </w:rPr>
        <w:t>Liaised</w:t>
      </w:r>
      <w:r>
        <w:rPr>
          <w:spacing w:val="18"/>
          <w:sz w:val="15"/>
        </w:rPr>
        <w:t> </w:t>
      </w:r>
      <w:r>
        <w:rPr>
          <w:sz w:val="15"/>
        </w:rPr>
        <w:t>with</w:t>
      </w:r>
      <w:r>
        <w:rPr>
          <w:spacing w:val="18"/>
          <w:sz w:val="15"/>
        </w:rPr>
        <w:t> </w:t>
      </w:r>
      <w:r>
        <w:rPr>
          <w:sz w:val="15"/>
        </w:rPr>
        <w:t>external</w:t>
      </w:r>
      <w:r>
        <w:rPr>
          <w:spacing w:val="18"/>
          <w:sz w:val="15"/>
        </w:rPr>
        <w:t> </w:t>
      </w:r>
      <w:r>
        <w:rPr>
          <w:sz w:val="15"/>
        </w:rPr>
        <w:t>auditors</w:t>
      </w:r>
      <w:r>
        <w:rPr>
          <w:spacing w:val="18"/>
          <w:sz w:val="15"/>
        </w:rPr>
        <w:t> </w:t>
      </w:r>
      <w:r>
        <w:rPr>
          <w:sz w:val="15"/>
        </w:rPr>
        <w:t>to</w:t>
      </w:r>
      <w:r>
        <w:rPr>
          <w:spacing w:val="18"/>
          <w:sz w:val="15"/>
        </w:rPr>
        <w:t> </w:t>
      </w:r>
      <w:r>
        <w:rPr>
          <w:sz w:val="15"/>
        </w:rPr>
        <w:t>support</w:t>
      </w:r>
      <w:r>
        <w:rPr>
          <w:spacing w:val="18"/>
          <w:sz w:val="15"/>
        </w:rPr>
        <w:t> </w:t>
      </w:r>
      <w:r>
        <w:rPr>
          <w:sz w:val="15"/>
        </w:rPr>
        <w:t>financial</w:t>
      </w:r>
      <w:r>
        <w:rPr>
          <w:spacing w:val="18"/>
          <w:sz w:val="15"/>
        </w:rPr>
        <w:t> </w:t>
      </w:r>
      <w:r>
        <w:rPr>
          <w:spacing w:val="-2"/>
          <w:sz w:val="15"/>
        </w:rPr>
        <w:t>reviews</w:t>
      </w:r>
    </w:p>
    <w:p>
      <w:pPr>
        <w:pStyle w:val="BodyText"/>
        <w:spacing w:line="283" w:lineRule="auto" w:before="139"/>
        <w:ind w:left="358" w:right="5514"/>
      </w:pPr>
      <w:r>
        <w:rPr/>
        <w:t>Staff Accountant </w:t>
      </w:r>
      <w:r>
        <w:rPr>
          <w:rFonts w:ascii="Nueva Std Extended" w:hAnsi="Nueva Std Extended"/>
        </w:rPr>
        <w:t>|</w:t>
      </w:r>
      <w:r>
        <w:rPr>
          <w:rFonts w:ascii="Nueva Std Extended" w:hAnsi="Nueva Std Extended"/>
          <w:spacing w:val="30"/>
        </w:rPr>
        <w:t> </w:t>
      </w:r>
      <w:r>
        <w:rPr/>
        <w:t>Public Accounting Firm, City, ST July 2019 – January 2022</w:t>
      </w:r>
    </w:p>
    <w:p>
      <w:pPr>
        <w:pStyle w:val="ListParagraph"/>
        <w:numPr>
          <w:ilvl w:val="1"/>
          <w:numId w:val="1"/>
        </w:numPr>
        <w:tabs>
          <w:tab w:pos="784" w:val="left" w:leader="none"/>
        </w:tabs>
        <w:spacing w:line="328" w:lineRule="exact" w:before="142" w:after="0"/>
        <w:ind w:left="784" w:right="0" w:hanging="296"/>
        <w:jc w:val="left"/>
        <w:rPr>
          <w:position w:val="-5"/>
          <w:sz w:val="31"/>
        </w:rPr>
      </w:pPr>
      <w:r>
        <w:rPr>
          <w:sz w:val="15"/>
        </w:rPr>
        <w:t>Assisted</w:t>
      </w:r>
      <w:r>
        <w:rPr>
          <w:spacing w:val="17"/>
          <w:sz w:val="15"/>
        </w:rPr>
        <w:t> </w:t>
      </w:r>
      <w:r>
        <w:rPr>
          <w:sz w:val="15"/>
        </w:rPr>
        <w:t>in</w:t>
      </w:r>
      <w:r>
        <w:rPr>
          <w:spacing w:val="18"/>
          <w:sz w:val="15"/>
        </w:rPr>
        <w:t> </w:t>
      </w:r>
      <w:r>
        <w:rPr>
          <w:sz w:val="15"/>
        </w:rPr>
        <w:t>preparing</w:t>
      </w:r>
      <w:r>
        <w:rPr>
          <w:spacing w:val="18"/>
          <w:sz w:val="15"/>
        </w:rPr>
        <w:t> </w:t>
      </w:r>
      <w:r>
        <w:rPr>
          <w:sz w:val="15"/>
        </w:rPr>
        <w:t>footnotes</w:t>
      </w:r>
      <w:r>
        <w:rPr>
          <w:spacing w:val="17"/>
          <w:sz w:val="15"/>
        </w:rPr>
        <w:t> </w:t>
      </w:r>
      <w:r>
        <w:rPr>
          <w:sz w:val="15"/>
        </w:rPr>
        <w:t>and</w:t>
      </w:r>
      <w:r>
        <w:rPr>
          <w:spacing w:val="18"/>
          <w:sz w:val="15"/>
        </w:rPr>
        <w:t> </w:t>
      </w:r>
      <w:r>
        <w:rPr>
          <w:sz w:val="15"/>
        </w:rPr>
        <w:t>disclosures</w:t>
      </w:r>
      <w:r>
        <w:rPr>
          <w:spacing w:val="18"/>
          <w:sz w:val="15"/>
        </w:rPr>
        <w:t> </w:t>
      </w:r>
      <w:r>
        <w:rPr>
          <w:sz w:val="15"/>
        </w:rPr>
        <w:t>for</w:t>
      </w:r>
      <w:r>
        <w:rPr>
          <w:spacing w:val="18"/>
          <w:sz w:val="15"/>
        </w:rPr>
        <w:t> </w:t>
      </w:r>
      <w:r>
        <w:rPr>
          <w:sz w:val="15"/>
        </w:rPr>
        <w:t>public</w:t>
      </w:r>
      <w:r>
        <w:rPr>
          <w:spacing w:val="17"/>
          <w:sz w:val="15"/>
        </w:rPr>
        <w:t> </w:t>
      </w:r>
      <w:r>
        <w:rPr>
          <w:spacing w:val="-2"/>
          <w:sz w:val="15"/>
        </w:rPr>
        <w:t>filings</w:t>
      </w:r>
    </w:p>
    <w:p>
      <w:pPr>
        <w:pStyle w:val="ListParagraph"/>
        <w:numPr>
          <w:ilvl w:val="1"/>
          <w:numId w:val="1"/>
        </w:numPr>
        <w:tabs>
          <w:tab w:pos="784" w:val="left" w:leader="none"/>
        </w:tabs>
        <w:spacing w:line="328" w:lineRule="exact" w:before="0" w:after="0"/>
        <w:ind w:left="784" w:right="0" w:hanging="296"/>
        <w:jc w:val="left"/>
        <w:rPr>
          <w:position w:val="-5"/>
          <w:sz w:val="31"/>
        </w:rPr>
      </w:pPr>
      <w:r>
        <w:rPr>
          <w:sz w:val="15"/>
        </w:rPr>
        <w:t>Conducted</w:t>
      </w:r>
      <w:r>
        <w:rPr>
          <w:spacing w:val="20"/>
          <w:sz w:val="15"/>
        </w:rPr>
        <w:t> </w:t>
      </w:r>
      <w:r>
        <w:rPr>
          <w:sz w:val="15"/>
        </w:rPr>
        <w:t>research</w:t>
      </w:r>
      <w:r>
        <w:rPr>
          <w:spacing w:val="20"/>
          <w:sz w:val="15"/>
        </w:rPr>
        <w:t> </w:t>
      </w:r>
      <w:r>
        <w:rPr>
          <w:sz w:val="15"/>
        </w:rPr>
        <w:t>on</w:t>
      </w:r>
      <w:r>
        <w:rPr>
          <w:spacing w:val="20"/>
          <w:sz w:val="15"/>
        </w:rPr>
        <w:t> </w:t>
      </w:r>
      <w:r>
        <w:rPr>
          <w:sz w:val="15"/>
        </w:rPr>
        <w:t>technical</w:t>
      </w:r>
      <w:r>
        <w:rPr>
          <w:spacing w:val="20"/>
          <w:sz w:val="15"/>
        </w:rPr>
        <w:t> </w:t>
      </w:r>
      <w:r>
        <w:rPr>
          <w:sz w:val="15"/>
        </w:rPr>
        <w:t>accounting</w:t>
      </w:r>
      <w:r>
        <w:rPr>
          <w:spacing w:val="21"/>
          <w:sz w:val="15"/>
        </w:rPr>
        <w:t> </w:t>
      </w:r>
      <w:r>
        <w:rPr>
          <w:spacing w:val="-2"/>
          <w:sz w:val="15"/>
        </w:rPr>
        <w:t>issues</w:t>
      </w:r>
    </w:p>
    <w:p>
      <w:pPr>
        <w:pStyle w:val="Heading2"/>
      </w:pPr>
      <w:r>
        <w:rPr>
          <w:color w:val="FF640D"/>
          <w:spacing w:val="-2"/>
          <w:sz w:val="24"/>
        </w:rPr>
        <w:t>E</w:t>
      </w:r>
      <w:r>
        <w:rPr>
          <w:color w:val="FF640D"/>
          <w:spacing w:val="-2"/>
        </w:rPr>
        <w:t>ducation</w:t>
      </w:r>
    </w:p>
    <w:p>
      <w:pPr>
        <w:pStyle w:val="BodyText"/>
        <w:spacing w:before="59"/>
        <w:rPr>
          <w:b/>
          <w:sz w:val="20"/>
        </w:rPr>
      </w:pPr>
    </w:p>
    <w:p>
      <w:pPr>
        <w:pStyle w:val="BodyText"/>
        <w:spacing w:line="261" w:lineRule="auto"/>
        <w:ind w:left="358" w:right="4897"/>
      </w:pPr>
      <w:r>
        <w:rPr/>
        <w:t>Bachelor of Science in Accounting </w:t>
      </w:r>
      <w:r>
        <w:rPr>
          <w:rFonts w:ascii="Nueva Std Extended"/>
        </w:rPr>
        <w:t>|</w:t>
      </w:r>
      <w:r>
        <w:rPr>
          <w:rFonts w:ascii="Nueva Std Extended"/>
          <w:spacing w:val="30"/>
        </w:rPr>
        <w:t> </w:t>
      </w:r>
      <w:r>
        <w:rPr/>
        <w:t>City University, City, ST May 2019</w:t>
      </w:r>
    </w:p>
    <w:sectPr>
      <w:type w:val="continuous"/>
      <w:pgSz w:w="11920" w:h="16860"/>
      <w:pgMar w:top="0" w:bottom="0" w:left="850" w:right="155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Nueva Std Extended">
    <w:altName w:val="Nueva Std Extended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5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8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1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04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17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31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44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57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712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5"/>
      <w:szCs w:val="15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222"/>
      <w:ind w:left="154"/>
      <w:outlineLvl w:val="1"/>
    </w:pPr>
    <w:rPr>
      <w:rFonts w:ascii="Arial" w:hAnsi="Arial" w:eastAsia="Arial" w:cs="Arial"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44"/>
      <w:ind w:left="154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26" w:lineRule="exact"/>
      <w:ind w:left="654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2026-02-27T13:48:07Z</dcterms:created>
  <dcterms:modified xsi:type="dcterms:W3CDTF">2026-02-27T13:48:07Z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2026-02-27T00:00:00Z</vt:filetime>
  </property>
  <property fmtid="{D5CDD505-2E9C-101B-9397-08002B2CF9AE}" pid="5" name="Producer">
    <vt:lpwstr>Skia/PDF m121</vt:lpwstr>
  </property>
</Properties>
</file>