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4415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Avery</w:t>
      </w:r>
      <w:r>
        <w:rPr>
          <w:rFonts w:ascii="Arial"/>
          <w:b/>
          <w:color w:val="FFFFFF"/>
          <w:spacing w:val="70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Harris</w:t>
      </w:r>
    </w:p>
    <w:p>
      <w:pPr>
        <w:pStyle w:val="Heading2"/>
      </w:pPr>
      <w:r>
        <w:rPr>
          <w:color w:val="FFFFFF"/>
          <w:spacing w:val="11"/>
        </w:rPr>
        <w:t>Regional</w:t>
      </w:r>
      <w:r>
        <w:rPr>
          <w:color w:val="FFFFFF"/>
          <w:spacing w:val="19"/>
        </w:rPr>
        <w:t> </w:t>
      </w:r>
      <w:r>
        <w:rPr>
          <w:color w:val="FFFFFF"/>
          <w:spacing w:val="11"/>
        </w:rPr>
        <w:t>Sales</w:t>
      </w:r>
      <w:r>
        <w:rPr>
          <w:color w:val="FFFFFF"/>
          <w:spacing w:val="19"/>
        </w:rPr>
        <w:t> </w:t>
      </w:r>
      <w:r>
        <w:rPr>
          <w:color w:val="FFFFFF"/>
          <w:spacing w:val="9"/>
        </w:rPr>
        <w:t>Executive</w:t>
      </w:r>
    </w:p>
    <w:p>
      <w:pPr>
        <w:pStyle w:val="BodyText"/>
        <w:spacing w:line="261" w:lineRule="auto" w:before="232"/>
        <w:ind w:left="4415" w:right="94"/>
      </w:pPr>
      <w:r>
        <w:rPr>
          <w:color w:val="FFFFFF"/>
          <w:spacing w:val="-2"/>
          <w:w w:val="130"/>
        </w:rPr>
        <w:t>Experienced</w:t>
      </w:r>
      <w:r>
        <w:rPr>
          <w:color w:val="FFFFFF"/>
          <w:spacing w:val="-8"/>
          <w:w w:val="130"/>
        </w:rPr>
        <w:t> </w:t>
      </w:r>
      <w:r>
        <w:rPr>
          <w:color w:val="FFFFFF"/>
          <w:spacing w:val="-2"/>
          <w:w w:val="130"/>
        </w:rPr>
        <w:t>Regional</w:t>
      </w:r>
      <w:r>
        <w:rPr>
          <w:color w:val="FFFFFF"/>
          <w:spacing w:val="-8"/>
          <w:w w:val="130"/>
        </w:rPr>
        <w:t> </w:t>
      </w:r>
      <w:r>
        <w:rPr>
          <w:color w:val="FFFFFF"/>
          <w:spacing w:val="-2"/>
          <w:w w:val="130"/>
        </w:rPr>
        <w:t>Sales</w:t>
      </w:r>
      <w:r>
        <w:rPr>
          <w:color w:val="FFFFFF"/>
          <w:spacing w:val="-8"/>
          <w:w w:val="130"/>
        </w:rPr>
        <w:t> </w:t>
      </w:r>
      <w:r>
        <w:rPr>
          <w:color w:val="FFFFFF"/>
          <w:spacing w:val="-2"/>
          <w:w w:val="130"/>
        </w:rPr>
        <w:t>Executive</w:t>
      </w:r>
      <w:r>
        <w:rPr>
          <w:color w:val="FFFFFF"/>
          <w:spacing w:val="-8"/>
          <w:w w:val="130"/>
        </w:rPr>
        <w:t> </w:t>
      </w:r>
      <w:r>
        <w:rPr>
          <w:color w:val="FFFFFF"/>
          <w:spacing w:val="-2"/>
          <w:w w:val="130"/>
        </w:rPr>
        <w:t>with</w:t>
      </w:r>
      <w:r>
        <w:rPr>
          <w:color w:val="FFFFFF"/>
          <w:spacing w:val="-8"/>
          <w:w w:val="130"/>
        </w:rPr>
        <w:t> </w:t>
      </w:r>
      <w:r>
        <w:rPr>
          <w:color w:val="FFFFFF"/>
          <w:spacing w:val="-2"/>
          <w:w w:val="130"/>
        </w:rPr>
        <w:t>8</w:t>
      </w:r>
      <w:r>
        <w:rPr>
          <w:color w:val="FFFFFF"/>
          <w:spacing w:val="-8"/>
          <w:w w:val="130"/>
        </w:rPr>
        <w:t> </w:t>
      </w:r>
      <w:r>
        <w:rPr>
          <w:color w:val="FFFFFF"/>
          <w:spacing w:val="-2"/>
          <w:w w:val="130"/>
        </w:rPr>
        <w:t>years</w:t>
      </w:r>
      <w:r>
        <w:rPr>
          <w:color w:val="FFFFFF"/>
          <w:spacing w:val="-8"/>
          <w:w w:val="130"/>
        </w:rPr>
        <w:t> </w:t>
      </w:r>
      <w:r>
        <w:rPr>
          <w:color w:val="FFFFFF"/>
          <w:spacing w:val="-2"/>
          <w:w w:val="130"/>
        </w:rPr>
        <w:t>in</w:t>
      </w:r>
      <w:r>
        <w:rPr>
          <w:color w:val="FFFFFF"/>
          <w:spacing w:val="-8"/>
          <w:w w:val="130"/>
        </w:rPr>
        <w:t> </w:t>
      </w:r>
      <w:r>
        <w:rPr>
          <w:color w:val="FFFFFF"/>
          <w:spacing w:val="-2"/>
          <w:w w:val="130"/>
        </w:rPr>
        <w:t>territory</w:t>
      </w:r>
      <w:r>
        <w:rPr>
          <w:color w:val="FFFFFF"/>
          <w:spacing w:val="-8"/>
          <w:w w:val="130"/>
        </w:rPr>
        <w:t> </w:t>
      </w:r>
      <w:r>
        <w:rPr>
          <w:color w:val="FFFFFF"/>
          <w:spacing w:val="-2"/>
          <w:w w:val="130"/>
        </w:rPr>
        <w:t>expansion </w:t>
      </w:r>
      <w:r>
        <w:rPr>
          <w:color w:val="FFFFFF"/>
          <w:w w:val="130"/>
        </w:rPr>
        <w:t>and revenue growth</w:t>
      </w:r>
    </w:p>
    <w:p>
      <w:pPr>
        <w:pStyle w:val="BodyText"/>
        <w:spacing w:line="252" w:lineRule="auto" w:before="106"/>
        <w:ind w:left="4415" w:right="153"/>
      </w:pPr>
      <w:r>
        <w:rPr>
          <w:color w:val="FFFFFF"/>
          <w:w w:val="125"/>
        </w:rPr>
        <w:t>Specializes in B2B consultative sales with a focus on new market development and account penetration. Skilled in prospecting, building</w:t>
      </w:r>
      <w:r>
        <w:rPr>
          <w:color w:val="FFFFFF"/>
          <w:spacing w:val="80"/>
          <w:w w:val="125"/>
        </w:rPr>
        <w:t> </w:t>
      </w:r>
      <w:r>
        <w:rPr>
          <w:color w:val="FFFFFF"/>
          <w:w w:val="125"/>
        </w:rPr>
        <w:t>client relationships, and collaborating with internal teams to exceed quotas across the southeastern U.S.</w:t>
      </w:r>
    </w:p>
    <w:p>
      <w:pPr>
        <w:pStyle w:val="BodyText"/>
        <w:rPr>
          <w:sz w:val="20"/>
        </w:rPr>
      </w:pPr>
    </w:p>
    <w:p>
      <w:pPr>
        <w:pStyle w:val="BodyText"/>
        <w:spacing w:before="17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283"/>
        </w:sectPr>
      </w:pPr>
    </w:p>
    <w:p>
      <w:pPr>
        <w:pStyle w:val="Heading1"/>
        <w:spacing w:line="545" w:lineRule="exact" w:before="101"/>
      </w:pPr>
      <w:r>
        <w:rPr>
          <w:color w:val="F2323D"/>
          <w:spacing w:val="-2"/>
          <w:sz w:val="48"/>
        </w:rPr>
        <w:t>P</w:t>
      </w:r>
      <w:r>
        <w:rPr>
          <w:color w:val="F2323D"/>
          <w:spacing w:val="-2"/>
        </w:rPr>
        <w:t>ERSONAL</w:t>
      </w:r>
    </w:p>
    <w:p>
      <w:pPr>
        <w:spacing w:line="327" w:lineRule="exact" w:before="0"/>
        <w:ind w:left="100" w:right="0" w:firstLine="0"/>
        <w:jc w:val="left"/>
        <w:rPr>
          <w:rFonts w:ascii="Arial"/>
          <w:b/>
          <w:sz w:val="29"/>
        </w:rPr>
      </w:pPr>
      <w:r>
        <w:rPr>
          <w:rFonts w:ascii="Arial"/>
          <w:b/>
          <w:color w:val="F2323D"/>
          <w:spacing w:val="-2"/>
          <w:w w:val="105"/>
          <w:sz w:val="29"/>
        </w:rPr>
        <w:t>INFORMATION</w:t>
      </w:r>
    </w:p>
    <w:p>
      <w:pPr>
        <w:pStyle w:val="BodyText"/>
        <w:spacing w:before="100"/>
        <w:rPr>
          <w:rFonts w:ascii="Arial"/>
          <w:b/>
          <w:sz w:val="29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30"/>
          <w:sz w:val="20"/>
        </w:rPr>
        <w:t> </w:t>
      </w:r>
      <w:r>
        <w:rPr>
          <w:w w:val="130"/>
        </w:rPr>
        <w:t>(000) 000-0000</w:t>
      </w:r>
    </w:p>
    <w:p>
      <w:pPr>
        <w:pStyle w:val="BodyText"/>
        <w:spacing w:line="331" w:lineRule="auto" w:before="134"/>
        <w:ind w:left="430" w:right="25" w:firstLine="19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25"/>
          <w:sz w:val="20"/>
        </w:rPr>
        <w:t> </w:t>
      </w:r>
      <w:hyperlink r:id="rId7">
        <w:r>
          <w:rPr>
            <w:w w:val="125"/>
          </w:rPr>
          <w:t>email@email.com</w:t>
        </w:r>
      </w:hyperlink>
      <w:r>
        <w:rPr>
          <w:w w:val="125"/>
        </w:rPr>
        <w:t>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</w:rPr>
        <w:t> </w:t>
      </w:r>
      <w:r>
        <w:rPr>
          <w:w w:val="125"/>
        </w:rPr>
        <w:t>Atlanta, GA</w:t>
      </w:r>
    </w:p>
    <w:p>
      <w:pPr>
        <w:pStyle w:val="Heading1"/>
        <w:spacing w:before="147"/>
      </w:pPr>
      <w:r>
        <w:rPr>
          <w:color w:val="F2323D"/>
          <w:spacing w:val="-9"/>
          <w:sz w:val="48"/>
        </w:rPr>
        <w:t>K</w:t>
      </w:r>
      <w:r>
        <w:rPr>
          <w:color w:val="F2323D"/>
          <w:spacing w:val="-9"/>
        </w:rPr>
        <w:t>EY</w:t>
      </w:r>
      <w:r>
        <w:rPr>
          <w:color w:val="F2323D"/>
          <w:spacing w:val="-10"/>
        </w:rPr>
        <w:t> </w:t>
      </w:r>
      <w:r>
        <w:rPr>
          <w:color w:val="F2323D"/>
          <w:spacing w:val="-2"/>
        </w:rPr>
        <w:t>SKILLS</w:t>
      </w:r>
    </w:p>
    <w:p>
      <w:pPr>
        <w:pStyle w:val="BodyText"/>
        <w:spacing w:before="98"/>
        <w:rPr>
          <w:rFonts w:ascii="Arial"/>
          <w:b/>
          <w:sz w:val="29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w w:val="120"/>
          <w:sz w:val="18"/>
        </w:rPr>
        <w:t>Territory</w:t>
      </w:r>
      <w:r>
        <w:rPr>
          <w:spacing w:val="-12"/>
          <w:w w:val="120"/>
          <w:sz w:val="18"/>
        </w:rPr>
        <w:t> </w:t>
      </w:r>
      <w:r>
        <w:rPr>
          <w:spacing w:val="-2"/>
          <w:w w:val="12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1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Revenue</w:t>
      </w:r>
      <w:r>
        <w:rPr>
          <w:spacing w:val="9"/>
          <w:w w:val="130"/>
          <w:sz w:val="18"/>
        </w:rPr>
        <w:t> </w:t>
      </w:r>
      <w:r>
        <w:rPr>
          <w:spacing w:val="-2"/>
          <w:w w:val="130"/>
          <w:sz w:val="18"/>
        </w:rPr>
        <w:t>growth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95" w:after="0"/>
        <w:ind w:left="732" w:right="0" w:hanging="304"/>
        <w:jc w:val="left"/>
        <w:rPr>
          <w:sz w:val="18"/>
        </w:rPr>
      </w:pPr>
      <w:r>
        <w:rPr>
          <w:w w:val="130"/>
          <w:sz w:val="18"/>
        </w:rPr>
        <w:t>Lead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generation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CRM</w:t>
      </w:r>
      <w:r>
        <w:rPr>
          <w:spacing w:val="4"/>
          <w:w w:val="125"/>
          <w:sz w:val="18"/>
        </w:rPr>
        <w:t> </w:t>
      </w:r>
      <w:r>
        <w:rPr>
          <w:spacing w:val="-2"/>
          <w:w w:val="125"/>
          <w:sz w:val="18"/>
        </w:rPr>
        <w:t>tools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1" w:after="0"/>
        <w:ind w:left="732" w:right="0" w:hanging="304"/>
        <w:jc w:val="left"/>
        <w:rPr>
          <w:sz w:val="18"/>
        </w:rPr>
      </w:pPr>
      <w:r>
        <w:rPr>
          <w:spacing w:val="-2"/>
          <w:w w:val="130"/>
          <w:sz w:val="18"/>
        </w:rPr>
        <w:t>Client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onboarding</w:t>
      </w:r>
    </w:p>
    <w:p>
      <w:pPr>
        <w:pStyle w:val="BodyText"/>
        <w:spacing w:before="46"/>
      </w:pPr>
    </w:p>
    <w:p>
      <w:pPr>
        <w:pStyle w:val="Heading1"/>
      </w:pPr>
      <w:r>
        <w:rPr>
          <w:color w:val="F2323D"/>
          <w:spacing w:val="-2"/>
          <w:sz w:val="48"/>
        </w:rPr>
        <w:t>E</w:t>
      </w:r>
      <w:r>
        <w:rPr>
          <w:color w:val="F2323D"/>
          <w:spacing w:val="-2"/>
        </w:rPr>
        <w:t>DUCATION</w:t>
      </w:r>
    </w:p>
    <w:p>
      <w:pPr>
        <w:spacing w:before="146"/>
        <w:ind w:left="100" w:right="0" w:firstLine="0"/>
        <w:jc w:val="left"/>
        <w:rPr>
          <w:rFonts w:ascii="Arial"/>
          <w:b/>
          <w:sz w:val="29"/>
        </w:rPr>
      </w:pPr>
      <w:r>
        <w:rPr/>
        <w:br w:type="column"/>
      </w:r>
      <w:r>
        <w:rPr>
          <w:rFonts w:ascii="Arial"/>
          <w:b/>
          <w:color w:val="F2323D"/>
          <w:spacing w:val="-6"/>
          <w:sz w:val="48"/>
        </w:rPr>
        <w:t>P</w:t>
      </w:r>
      <w:r>
        <w:rPr>
          <w:rFonts w:ascii="Arial"/>
          <w:b/>
          <w:color w:val="F2323D"/>
          <w:spacing w:val="-6"/>
          <w:sz w:val="29"/>
        </w:rPr>
        <w:t>ROFESSIONAL</w:t>
      </w:r>
      <w:r>
        <w:rPr>
          <w:rFonts w:ascii="Arial"/>
          <w:b/>
          <w:color w:val="F2323D"/>
          <w:sz w:val="29"/>
        </w:rPr>
        <w:t> </w:t>
      </w:r>
      <w:r>
        <w:rPr>
          <w:rFonts w:ascii="Arial"/>
          <w:b/>
          <w:color w:val="F2323D"/>
          <w:spacing w:val="-2"/>
          <w:sz w:val="29"/>
        </w:rPr>
        <w:t>EXPERIENCE</w:t>
      </w:r>
    </w:p>
    <w:p>
      <w:pPr>
        <w:pStyle w:val="BodyText"/>
        <w:spacing w:line="312" w:lineRule="auto" w:before="327"/>
        <w:ind w:left="100" w:right="344"/>
      </w:pPr>
      <w:r>
        <w:rPr>
          <w:w w:val="125"/>
        </w:rPr>
        <w:t>REGIONAL SALES EXECUTIVE </w:t>
      </w:r>
      <w:r>
        <w:rPr/>
        <w:t>| </w:t>
      </w:r>
      <w:r>
        <w:rPr>
          <w:w w:val="125"/>
        </w:rPr>
        <w:t>TITAN SAFETY PRODUCTS, ATLANTA, GA APRIL 2019 – PRESENT</w:t>
      </w:r>
    </w:p>
    <w:p>
      <w:pPr>
        <w:pStyle w:val="BodyText"/>
        <w:spacing w:line="261" w:lineRule="auto" w:before="193"/>
        <w:ind w:left="658"/>
      </w:pPr>
      <w:r>
        <w:rPr>
          <w:w w:val="125"/>
        </w:rPr>
        <w:t>Expanded territory coverage into three new states, increasing sales </w:t>
      </w:r>
      <w:r>
        <w:rPr>
          <w:w w:val="130"/>
        </w:rPr>
        <w:t>revenue by 55%</w:t>
      </w:r>
    </w:p>
    <w:p>
      <w:pPr>
        <w:pStyle w:val="BodyText"/>
        <w:spacing w:line="261" w:lineRule="auto" w:before="76"/>
        <w:ind w:left="658" w:right="344"/>
      </w:pPr>
      <w:r>
        <w:rPr>
          <w:spacing w:val="-2"/>
          <w:w w:val="130"/>
        </w:rPr>
        <w:t>Developed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outreach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campaigns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that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boosted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qualified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leads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by </w:t>
      </w:r>
      <w:r>
        <w:rPr>
          <w:spacing w:val="-4"/>
          <w:w w:val="130"/>
        </w:rPr>
        <w:t>40%</w:t>
      </w:r>
    </w:p>
    <w:p>
      <w:pPr>
        <w:pStyle w:val="BodyText"/>
        <w:spacing w:before="91"/>
        <w:ind w:left="658"/>
      </w:pPr>
      <w:r>
        <w:rPr>
          <w:w w:val="125"/>
        </w:rPr>
        <w:t>Managed</w:t>
      </w:r>
      <w:r>
        <w:rPr>
          <w:spacing w:val="-3"/>
          <w:w w:val="125"/>
        </w:rPr>
        <w:t> </w:t>
      </w:r>
      <w:r>
        <w:rPr>
          <w:w w:val="125"/>
        </w:rPr>
        <w:t>relationships</w:t>
      </w:r>
      <w:r>
        <w:rPr>
          <w:spacing w:val="-3"/>
          <w:w w:val="125"/>
        </w:rPr>
        <w:t> </w:t>
      </w:r>
      <w:r>
        <w:rPr>
          <w:w w:val="125"/>
        </w:rPr>
        <w:t>with</w:t>
      </w:r>
      <w:r>
        <w:rPr>
          <w:spacing w:val="-3"/>
          <w:w w:val="125"/>
        </w:rPr>
        <w:t> </w:t>
      </w:r>
      <w:r>
        <w:rPr>
          <w:w w:val="125"/>
        </w:rPr>
        <w:t>over</w:t>
      </w:r>
      <w:r>
        <w:rPr>
          <w:spacing w:val="-3"/>
          <w:w w:val="125"/>
        </w:rPr>
        <w:t> </w:t>
      </w:r>
      <w:r>
        <w:rPr>
          <w:w w:val="125"/>
        </w:rPr>
        <w:t>100</w:t>
      </w:r>
      <w:r>
        <w:rPr>
          <w:spacing w:val="-3"/>
          <w:w w:val="125"/>
        </w:rPr>
        <w:t> </w:t>
      </w:r>
      <w:r>
        <w:rPr>
          <w:w w:val="125"/>
        </w:rPr>
        <w:t>active</w:t>
      </w:r>
      <w:r>
        <w:rPr>
          <w:spacing w:val="-3"/>
          <w:w w:val="125"/>
        </w:rPr>
        <w:t> </w:t>
      </w:r>
      <w:r>
        <w:rPr>
          <w:w w:val="125"/>
        </w:rPr>
        <w:t>B2B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clients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spacing w:line="312" w:lineRule="auto"/>
        <w:ind w:left="100" w:right="344"/>
      </w:pPr>
      <w:r>
        <w:rPr>
          <w:w w:val="125"/>
        </w:rPr>
        <w:t>SALES REPRESENTATIVE </w:t>
      </w:r>
      <w:r>
        <w:rPr/>
        <w:t>| </w:t>
      </w:r>
      <w:r>
        <w:rPr>
          <w:w w:val="125"/>
        </w:rPr>
        <w:t>TURNER INDUSTRIAL SUPPLY, MACON, GA MAY 2015 – MARCH 2019</w:t>
      </w:r>
    </w:p>
    <w:p>
      <w:pPr>
        <w:pStyle w:val="BodyText"/>
        <w:spacing w:before="194"/>
        <w:ind w:left="658"/>
      </w:pPr>
      <w:r>
        <w:rPr>
          <w:w w:val="120"/>
        </w:rPr>
        <w:t>Hit</w:t>
      </w:r>
      <w:r>
        <w:rPr>
          <w:spacing w:val="6"/>
          <w:w w:val="120"/>
        </w:rPr>
        <w:t> </w:t>
      </w:r>
      <w:r>
        <w:rPr>
          <w:w w:val="120"/>
        </w:rPr>
        <w:t>or</w:t>
      </w:r>
      <w:r>
        <w:rPr>
          <w:spacing w:val="7"/>
          <w:w w:val="120"/>
        </w:rPr>
        <w:t> </w:t>
      </w:r>
      <w:r>
        <w:rPr>
          <w:w w:val="120"/>
        </w:rPr>
        <w:t>exceeded</w:t>
      </w:r>
      <w:r>
        <w:rPr>
          <w:spacing w:val="7"/>
          <w:w w:val="120"/>
        </w:rPr>
        <w:t> </w:t>
      </w:r>
      <w:r>
        <w:rPr>
          <w:w w:val="120"/>
        </w:rPr>
        <w:t>quarterly</w:t>
      </w:r>
      <w:r>
        <w:rPr>
          <w:spacing w:val="6"/>
          <w:w w:val="120"/>
        </w:rPr>
        <w:t> </w:t>
      </w:r>
      <w:r>
        <w:rPr>
          <w:w w:val="120"/>
        </w:rPr>
        <w:t>quotas</w:t>
      </w:r>
      <w:r>
        <w:rPr>
          <w:spacing w:val="7"/>
          <w:w w:val="120"/>
        </w:rPr>
        <w:t> </w:t>
      </w:r>
      <w:r>
        <w:rPr>
          <w:w w:val="120"/>
        </w:rPr>
        <w:t>by</w:t>
      </w:r>
      <w:r>
        <w:rPr>
          <w:spacing w:val="7"/>
          <w:w w:val="120"/>
        </w:rPr>
        <w:t> </w:t>
      </w:r>
      <w:r>
        <w:rPr>
          <w:w w:val="120"/>
        </w:rPr>
        <w:t>110%</w:t>
      </w:r>
      <w:r>
        <w:rPr>
          <w:spacing w:val="6"/>
          <w:w w:val="120"/>
        </w:rPr>
        <w:t> </w:t>
      </w:r>
      <w:r>
        <w:rPr>
          <w:w w:val="120"/>
        </w:rPr>
        <w:t>or</w:t>
      </w:r>
      <w:r>
        <w:rPr>
          <w:spacing w:val="7"/>
          <w:w w:val="120"/>
        </w:rPr>
        <w:t> </w:t>
      </w:r>
      <w:r>
        <w:rPr>
          <w:spacing w:val="-4"/>
          <w:w w:val="120"/>
        </w:rPr>
        <w:t>more</w:t>
      </w:r>
    </w:p>
    <w:p>
      <w:pPr>
        <w:pStyle w:val="BodyText"/>
        <w:spacing w:line="261" w:lineRule="auto" w:before="95"/>
        <w:ind w:left="658"/>
      </w:pPr>
      <w:r>
        <w:rPr>
          <w:w w:val="125"/>
        </w:rPr>
        <w:t>Organized regional roadshows that generated $250,000 in new </w:t>
      </w:r>
      <w:r>
        <w:rPr>
          <w:spacing w:val="-2"/>
          <w:w w:val="125"/>
        </w:rPr>
        <w:t>business</w:t>
      </w:r>
    </w:p>
    <w:p>
      <w:pPr>
        <w:pStyle w:val="BodyText"/>
        <w:spacing w:before="91"/>
        <w:ind w:left="658"/>
      </w:pPr>
      <w:r>
        <w:rPr>
          <w:w w:val="125"/>
        </w:rPr>
        <w:t>Trained</w:t>
      </w:r>
      <w:r>
        <w:rPr>
          <w:spacing w:val="1"/>
          <w:w w:val="125"/>
        </w:rPr>
        <w:t> </w:t>
      </w:r>
      <w:r>
        <w:rPr>
          <w:w w:val="125"/>
        </w:rPr>
        <w:t>junior</w:t>
      </w:r>
      <w:r>
        <w:rPr>
          <w:spacing w:val="1"/>
          <w:w w:val="125"/>
        </w:rPr>
        <w:t> </w:t>
      </w:r>
      <w:r>
        <w:rPr>
          <w:w w:val="125"/>
        </w:rPr>
        <w:t>reps</w:t>
      </w:r>
      <w:r>
        <w:rPr>
          <w:spacing w:val="1"/>
          <w:w w:val="125"/>
        </w:rPr>
        <w:t> </w:t>
      </w:r>
      <w:r>
        <w:rPr>
          <w:w w:val="125"/>
        </w:rPr>
        <w:t>on</w:t>
      </w:r>
      <w:r>
        <w:rPr>
          <w:spacing w:val="1"/>
          <w:w w:val="125"/>
        </w:rPr>
        <w:t> </w:t>
      </w:r>
      <w:r>
        <w:rPr>
          <w:w w:val="125"/>
        </w:rPr>
        <w:t>outbound</w:t>
      </w:r>
      <w:r>
        <w:rPr>
          <w:spacing w:val="1"/>
          <w:w w:val="125"/>
        </w:rPr>
        <w:t> </w:t>
      </w:r>
      <w:r>
        <w:rPr>
          <w:w w:val="125"/>
        </w:rPr>
        <w:t>strategy</w:t>
      </w:r>
      <w:r>
        <w:rPr>
          <w:spacing w:val="2"/>
          <w:w w:val="125"/>
        </w:rPr>
        <w:t> </w:t>
      </w:r>
      <w:r>
        <w:rPr>
          <w:w w:val="125"/>
        </w:rPr>
        <w:t>and</w:t>
      </w:r>
      <w:r>
        <w:rPr>
          <w:spacing w:val="1"/>
          <w:w w:val="125"/>
        </w:rPr>
        <w:t> </w:t>
      </w:r>
      <w:r>
        <w:rPr>
          <w:w w:val="125"/>
        </w:rPr>
        <w:t>CRM</w:t>
      </w:r>
      <w:r>
        <w:rPr>
          <w:spacing w:val="1"/>
          <w:w w:val="125"/>
        </w:rPr>
        <w:t> </w:t>
      </w:r>
      <w:r>
        <w:rPr>
          <w:spacing w:val="-2"/>
          <w:w w:val="125"/>
        </w:rPr>
        <w:t>tracking</w:t>
      </w:r>
    </w:p>
    <w:p>
      <w:pPr>
        <w:pStyle w:val="Heading1"/>
        <w:spacing w:before="207"/>
      </w:pPr>
      <w:r>
        <w:rPr>
          <w:color w:val="F2323D"/>
          <w:spacing w:val="-2"/>
          <w:sz w:val="48"/>
        </w:rPr>
        <w:t>R</w:t>
      </w:r>
      <w:r>
        <w:rPr>
          <w:color w:val="F2323D"/>
          <w:spacing w:val="-2"/>
        </w:rPr>
        <w:t>EFERENCES</w:t>
      </w:r>
    </w:p>
    <w:p>
      <w:pPr>
        <w:pStyle w:val="Heading1"/>
        <w:spacing w:after="0"/>
        <w:sectPr>
          <w:type w:val="continuous"/>
          <w:pgSz w:w="11920" w:h="16860"/>
          <w:pgMar w:top="880" w:bottom="280" w:left="141" w:right="283"/>
          <w:cols w:num="2" w:equalWidth="0">
            <w:col w:w="2843" w:space="1583"/>
            <w:col w:w="7070"/>
          </w:cols>
        </w:sectPr>
      </w:pPr>
    </w:p>
    <w:p>
      <w:pPr>
        <w:pStyle w:val="BodyText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847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847975">
                                <a:moveTo>
                                  <a:pt x="7568183" y="2847974"/>
                                </a:moveTo>
                                <a:lnTo>
                                  <a:pt x="0" y="28479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847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9874" y="2847975"/>
                            <a:ext cx="4758690" cy="5248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248275">
                                <a:moveTo>
                                  <a:pt x="4758308" y="5248274"/>
                                </a:moveTo>
                                <a:lnTo>
                                  <a:pt x="0" y="52482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248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133712" y="4133849"/>
                            <a:ext cx="47625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28850">
                                <a:moveTo>
                                  <a:pt x="47625" y="2201697"/>
                                </a:moveTo>
                                <a:lnTo>
                                  <a:pt x="27165" y="2181225"/>
                                </a:lnTo>
                                <a:lnTo>
                                  <a:pt x="20472" y="2181225"/>
                                </a:lnTo>
                                <a:lnTo>
                                  <a:pt x="0" y="2201697"/>
                                </a:lnTo>
                                <a:lnTo>
                                  <a:pt x="0" y="2205266"/>
                                </a:lnTo>
                                <a:lnTo>
                                  <a:pt x="0" y="2208390"/>
                                </a:lnTo>
                                <a:lnTo>
                                  <a:pt x="20472" y="2228850"/>
                                </a:lnTo>
                                <a:lnTo>
                                  <a:pt x="27165" y="2228850"/>
                                </a:lnTo>
                                <a:lnTo>
                                  <a:pt x="47625" y="2208390"/>
                                </a:lnTo>
                                <a:lnTo>
                                  <a:pt x="47625" y="2201697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1839747"/>
                                </a:moveTo>
                                <a:lnTo>
                                  <a:pt x="27165" y="1819275"/>
                                </a:lnTo>
                                <a:lnTo>
                                  <a:pt x="20472" y="1819275"/>
                                </a:lnTo>
                                <a:lnTo>
                                  <a:pt x="0" y="1839747"/>
                                </a:lnTo>
                                <a:lnTo>
                                  <a:pt x="0" y="1843316"/>
                                </a:lnTo>
                                <a:lnTo>
                                  <a:pt x="0" y="1846440"/>
                                </a:lnTo>
                                <a:lnTo>
                                  <a:pt x="20472" y="1866900"/>
                                </a:lnTo>
                                <a:lnTo>
                                  <a:pt x="27165" y="1866900"/>
                                </a:lnTo>
                                <a:lnTo>
                                  <a:pt x="47625" y="1846440"/>
                                </a:lnTo>
                                <a:lnTo>
                                  <a:pt x="47625" y="1839747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1639722"/>
                                </a:moveTo>
                                <a:lnTo>
                                  <a:pt x="27165" y="1619250"/>
                                </a:lnTo>
                                <a:lnTo>
                                  <a:pt x="20472" y="1619250"/>
                                </a:lnTo>
                                <a:lnTo>
                                  <a:pt x="0" y="1639722"/>
                                </a:lnTo>
                                <a:lnTo>
                                  <a:pt x="0" y="1643291"/>
                                </a:lnTo>
                                <a:lnTo>
                                  <a:pt x="0" y="1646415"/>
                                </a:lnTo>
                                <a:lnTo>
                                  <a:pt x="20472" y="1666875"/>
                                </a:lnTo>
                                <a:lnTo>
                                  <a:pt x="27165" y="1666875"/>
                                </a:lnTo>
                                <a:lnTo>
                                  <a:pt x="47625" y="1646415"/>
                                </a:lnTo>
                                <a:lnTo>
                                  <a:pt x="47625" y="1639722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3133724"/>
                            <a:ext cx="2809875" cy="3790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790950">
                                <a:moveTo>
                                  <a:pt x="2809862" y="3524250"/>
                                </a:moveTo>
                                <a:lnTo>
                                  <a:pt x="0" y="3524250"/>
                                </a:lnTo>
                                <a:lnTo>
                                  <a:pt x="0" y="3790950"/>
                                </a:lnTo>
                                <a:lnTo>
                                  <a:pt x="2809862" y="3790950"/>
                                </a:lnTo>
                                <a:lnTo>
                                  <a:pt x="2809862" y="3524250"/>
                                </a:lnTo>
                                <a:close/>
                              </a:path>
                              <a:path w="2809875" h="3790950">
                                <a:moveTo>
                                  <a:pt x="2809862" y="1762125"/>
                                </a:moveTo>
                                <a:lnTo>
                                  <a:pt x="0" y="1762125"/>
                                </a:lnTo>
                                <a:lnTo>
                                  <a:pt x="0" y="2028825"/>
                                </a:lnTo>
                                <a:lnTo>
                                  <a:pt x="2809862" y="2028825"/>
                                </a:lnTo>
                                <a:lnTo>
                                  <a:pt x="2809862" y="1762125"/>
                                </a:lnTo>
                                <a:close/>
                              </a:path>
                              <a:path w="2809875" h="379095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0"/>
                                </a:lnTo>
                                <a:lnTo>
                                  <a:pt x="2809862" y="4762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744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485" id="docshape3" filled="true" fillcolor="#f2323d" stroked="false">
                  <v:fill type="solid"/>
                </v:rect>
                <v:shape style="position:absolute;left:840;top:0;width:2415;height:2460" type="#_x0000_t75" id="docshape4" stroked="false">
                  <v:imagedata r:id="rId9" o:title=""/>
                </v:shape>
                <v:rect style="position:absolute;left:4425;top:4485;width:7494;height:8265" id="docshape5" filled="true" fillcolor="#f5f5f5" stroked="false">
                  <v:fill type="solid"/>
                </v:rect>
                <v:shape style="position:absolute;left:4934;top:6510;width:75;height:3510" id="docshape6" coordorigin="4935,6510" coordsize="75,3510" path="m5010,9977l5009,9972,5005,9963,5003,9959,4996,9952,4992,9950,4983,9946,4978,9945,4967,9945,4962,9946,4953,9950,4949,9952,4942,9959,4940,9963,4936,9972,4935,9977,4935,9983,4935,9988,4936,9993,4940,10002,4942,10006,4949,10013,4953,10015,4962,10019,4967,10020,4978,10020,4983,10019,4992,10015,4996,10013,5003,10006,5005,10002,5009,9993,5010,9988,5010,9977xm5010,9407l5009,9402,5005,9393,5003,9389,4996,9382,4992,9380,4983,9376,4978,9375,4967,9375,4962,9376,4953,9380,4949,9382,4942,9389,4940,9393,4936,9402,4935,9407,4935,9413,4935,9418,4936,9423,4940,9432,4942,9436,4949,9443,4953,9445,4962,9449,4967,9450,4978,9450,4983,9449,4992,9445,4996,9443,5003,9436,5005,9432,5009,9423,5010,9418,5010,9407xm5010,9092l5009,9087,5005,9078,5003,9074,4996,9067,4992,9065,4983,9061,4978,9060,4967,9060,4962,9061,4953,9065,4949,9067,4942,9074,4940,9078,4936,9087,4935,9092,4935,9098,4935,9103,4936,9108,4940,9117,4942,9121,4949,9128,4953,9130,4962,9134,4967,9135,4978,9135,4983,9134,4992,9130,4996,9128,5003,9121,5005,9117,5009,9108,5010,9103,5010,9092xm5010,7667l5009,7662,5005,7653,5003,7649,4996,7642,4992,7640,4983,7636,4978,7635,4967,7635,4962,7636,4953,7640,4949,7642,4942,7649,4940,7653,4936,7662,4935,7667,4935,7673,4935,7678,4936,7683,4940,7692,4942,7696,4949,7703,4953,7705,4962,7709,4967,7710,4978,7710,4983,7709,4992,7705,4996,7703,5003,7696,5005,7692,5009,7683,5010,7678,5010,7667xm5010,7097l5009,7092,5005,7083,5003,7079,4996,7072,4992,7070,4983,7066,4978,7065,4967,7065,4962,7066,4953,7070,4949,7072,4942,7079,4940,7083,4936,7092,4935,7097,4935,7103,4935,7108,4936,7113,4940,7122,4942,7126,4949,7133,4953,7135,4962,7139,4967,7140,4978,7140,4983,7139,4992,7135,4996,7133,5003,7126,5005,7122,5009,7113,5010,7108,5010,7097xm5010,6542l5009,6537,5005,6528,5003,6524,4996,6517,4992,6515,4983,6511,4978,6510,4967,6510,4962,6511,4953,6515,4949,6517,4942,6524,4940,6528,4936,6537,4935,6542,4935,6548,4935,6553,4936,6558,4940,6567,4942,6571,4949,6578,4953,6580,4962,6584,4967,6585,4978,6585,4983,6584,4992,6580,4996,6578,5003,6571,5005,6567,5009,6558,5010,6553,5010,6542xe" filled="true" fillcolor="#000000" stroked="false">
                  <v:path arrowok="t"/>
                  <v:fill type="solid"/>
                </v:shape>
                <v:shape style="position:absolute;left:0;top:4935;width:4425;height:5970" id="docshape7" coordorigin="0,4935" coordsize="4425,5970" path="m4425,10485l0,10485,0,10905,4425,10905,4425,10485xm4425,7710l0,7710,0,8130,4425,8130,4425,7710xm4425,4935l0,4935,0,5685,4425,5685,4425,493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7"/>
        <w:rPr>
          <w:rFonts w:ascii="Arial"/>
          <w:b/>
        </w:rPr>
      </w:pPr>
    </w:p>
    <w:p>
      <w:pPr>
        <w:pStyle w:val="BodyText"/>
        <w:spacing w:line="254" w:lineRule="auto" w:before="1"/>
        <w:ind w:left="435" w:right="8087"/>
        <w:jc w:val="both"/>
      </w:pPr>
      <w:r>
        <w:rPr>
          <w:w w:val="125"/>
        </w:rPr>
        <w:t>Bachelor of Science in Business Management Georgia Southern University </w:t>
      </w:r>
      <w:r>
        <w:rPr/>
        <w:t>| </w:t>
      </w:r>
      <w:r>
        <w:rPr>
          <w:w w:val="125"/>
        </w:rPr>
        <w:t>2015</w:t>
      </w:r>
    </w:p>
    <w:sectPr>
      <w:type w:val="continuous"/>
      <w:pgSz w:w="11920" w:h="16860"/>
      <w:pgMar w:top="88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50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60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70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81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91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01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11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22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4"/>
      <w:ind w:left="4415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1"/>
      <w:ind w:left="732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jpe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2026-02-13T09:46:38Z</dcterms:created>
  <dcterms:modified xsi:type="dcterms:W3CDTF">2026-02-13T09:46:38Z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