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15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Sarah</w:t>
      </w:r>
      <w:r>
        <w:rPr>
          <w:rFonts w:ascii="Arial"/>
          <w:b/>
          <w:color w:val="FFFFFF"/>
          <w:spacing w:val="-5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Johnson</w:t>
      </w:r>
    </w:p>
    <w:p>
      <w:pPr>
        <w:pStyle w:val="Heading2"/>
      </w:pPr>
      <w:r>
        <w:rPr>
          <w:color w:val="FFFFFF"/>
          <w:spacing w:val="11"/>
          <w:w w:val="105"/>
        </w:rPr>
        <w:t>Junior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9"/>
          <w:w w:val="105"/>
        </w:rPr>
        <w:t>Accountant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ind w:left="4415"/>
      </w:pPr>
      <w:r>
        <w:rPr>
          <w:color w:val="FFFFFF"/>
        </w:rPr>
        <w:t>Junior</w:t>
      </w:r>
      <w:r>
        <w:rPr>
          <w:color w:val="FFFFFF"/>
          <w:spacing w:val="10"/>
        </w:rPr>
        <w:t> </w:t>
      </w:r>
      <w:r>
        <w:rPr>
          <w:color w:val="FFFFFF"/>
        </w:rPr>
        <w:t>accountant</w:t>
      </w:r>
      <w:r>
        <w:rPr>
          <w:color w:val="FFFFFF"/>
          <w:spacing w:val="10"/>
        </w:rPr>
        <w:t> </w:t>
      </w:r>
      <w:r>
        <w:rPr>
          <w:color w:val="FFFFFF"/>
        </w:rPr>
        <w:t>with</w:t>
      </w:r>
      <w:r>
        <w:rPr>
          <w:color w:val="FFFFFF"/>
          <w:spacing w:val="19"/>
        </w:rPr>
        <w:t> </w:t>
      </w:r>
      <w:r>
        <w:rPr>
          <w:color w:val="FFFFFF"/>
        </w:rPr>
        <w:t>experience</w:t>
      </w:r>
      <w:r>
        <w:rPr>
          <w:color w:val="FFFFFF"/>
          <w:spacing w:val="18"/>
        </w:rPr>
        <w:t> </w:t>
      </w:r>
      <w:r>
        <w:rPr>
          <w:color w:val="FFFFFF"/>
        </w:rPr>
        <w:t>in</w:t>
      </w:r>
      <w:r>
        <w:rPr>
          <w:color w:val="FFFFFF"/>
          <w:spacing w:val="19"/>
        </w:rPr>
        <w:t> </w:t>
      </w:r>
      <w:r>
        <w:rPr>
          <w:color w:val="FFFFFF"/>
        </w:rPr>
        <w:t>financial</w:t>
      </w:r>
      <w:r>
        <w:rPr>
          <w:color w:val="FFFFFF"/>
          <w:spacing w:val="9"/>
        </w:rPr>
        <w:t> </w:t>
      </w:r>
      <w:r>
        <w:rPr>
          <w:color w:val="FFFFFF"/>
        </w:rPr>
        <w:t>analysis</w:t>
      </w:r>
      <w:r>
        <w:rPr>
          <w:color w:val="FFFFFF"/>
          <w:spacing w:val="19"/>
        </w:rPr>
        <w:t> </w:t>
      </w:r>
      <w:r>
        <w:rPr>
          <w:color w:val="FFFFFF"/>
        </w:rPr>
        <w:t>and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reconciliations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Junior accountant with three years of experience supporting financial operations for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corporate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small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clients.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reconciling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accounts,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analyzing financial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statements, and ensuring accurate tax reporting.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Adept at collaborating with senior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accountants to enhance reporting efficiency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maintain compliance with GAAP standards.</w:t>
      </w:r>
    </w:p>
    <w:p>
      <w:pPr>
        <w:pStyle w:val="BodyText"/>
        <w:rPr>
          <w:sz w:val="20"/>
        </w:rPr>
      </w:pPr>
    </w:p>
    <w:p>
      <w:pPr>
        <w:pStyle w:val="BodyText"/>
        <w:spacing w:before="2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90825">
                                <a:moveTo>
                                  <a:pt x="7568183" y="2790824"/>
                                </a:moveTo>
                                <a:lnTo>
                                  <a:pt x="0" y="2790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790825"/>
                            <a:ext cx="475869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00675">
                                <a:moveTo>
                                  <a:pt x="4758308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33712" y="4038599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76574"/>
                            <a:ext cx="2809875" cy="312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124200">
                                <a:moveTo>
                                  <a:pt x="2809862" y="2886075"/>
                                </a:moveTo>
                                <a:lnTo>
                                  <a:pt x="0" y="2886075"/>
                                </a:lnTo>
                                <a:lnTo>
                                  <a:pt x="0" y="3124200"/>
                                </a:lnTo>
                                <a:lnTo>
                                  <a:pt x="2809862" y="3124200"/>
                                </a:lnTo>
                                <a:lnTo>
                                  <a:pt x="2809862" y="2886075"/>
                                </a:lnTo>
                                <a:close/>
                              </a:path>
                              <a:path w="2809875" h="3124200">
                                <a:moveTo>
                                  <a:pt x="2809862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762125"/>
                                </a:lnTo>
                                <a:lnTo>
                                  <a:pt x="2809862" y="1762125"/>
                                </a:lnTo>
                                <a:lnTo>
                                  <a:pt x="2809862" y="1524000"/>
                                </a:lnTo>
                                <a:close/>
                              </a:path>
                              <a:path w="2809875" h="31242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39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4395;width:7494;height:8505" id="docshape5" filled="true" fillcolor="#f5f5f5" stroked="false">
                  <v:fill type="solid"/>
                </v:rect>
                <v:shape style="position:absolute;left:4934;top:6360;width:75;height:3975" id="docshape6" coordorigin="4935,6360" coordsize="75,3975" path="m5010,10292l5009,10287,5005,10278,5003,10274,4996,10267,4992,10265,4983,10261,4978,10260,4967,10260,4962,10261,4953,10265,4949,10267,4942,10274,4940,10278,4936,10287,4935,10292,4935,10298,4935,10303,4936,10308,4940,10317,4942,10321,4949,10328,4953,10330,4962,10334,4967,10335,4978,10335,4983,10334,4992,10330,4996,10328,5003,10321,5005,10317,5009,10308,5010,10303,5010,10292xm5010,9737l5009,9732,5005,9723,5003,9719,4996,9712,4992,9710,4983,9706,4978,9705,4967,9705,4962,9706,4953,9710,4949,9712,4942,9719,4940,9723,4936,9732,4935,9737,4935,9743,4935,9748,4936,9753,4940,9762,4942,9766,4949,9773,4953,9775,4962,9779,4967,9780,4978,9780,4983,9779,4992,9775,4996,9773,5003,9766,5005,9762,5009,9753,5010,9748,5010,9737xm5010,9167l5009,9162,5005,9153,5003,9149,4996,9142,4992,9140,4983,9136,4978,9135,4967,9135,4962,9136,4953,9140,4949,9142,4942,9149,4940,9153,4936,9162,4935,9167,4935,9173,4935,9178,4936,9183,4940,9192,4942,9196,4949,9203,4953,9205,4962,9209,4967,9210,4978,9210,4983,9209,4992,9205,4996,9203,5003,9196,5005,9192,5009,9183,5010,9178,5010,9167xm5010,7517l5009,7512,5005,7503,5003,7499,4996,7492,4992,7490,4983,7486,4978,7485,4967,7485,4962,7486,4953,7490,4949,7492,4942,7499,4940,7503,4936,7512,4935,7517,4935,7523,4935,7528,4936,7533,4940,7542,4942,7546,4949,7553,4953,7555,4962,7559,4967,7560,4978,7560,4983,7559,4992,7555,4996,7553,5003,7546,5005,7542,5009,7533,5010,7528,5010,7517xm5010,6947l5009,6942,5005,6933,5003,6929,4996,6922,4992,6920,4983,6916,4978,6915,4967,6915,4962,6916,4953,6920,4949,6922,4942,6929,4940,6933,4936,6942,4935,6947,4935,6953,4935,6958,4936,6963,4940,6972,4942,6976,4949,6983,4953,6985,4962,6989,4967,6990,4978,6990,4983,6989,4992,6985,4996,6983,5003,6976,5005,6972,5009,6963,5010,6958,5010,6947xm5010,6392l5009,6387,5005,6378,5003,6374,4996,6367,4992,6365,4983,6361,4978,6360,4967,6360,4962,6361,4953,6365,4949,6367,4942,6374,4940,6378,4936,6387,4935,6392,4935,6398,4935,6403,4936,6408,4940,6417,4942,6421,4949,6428,4953,6430,4962,6434,4967,6435,4978,6435,4983,6434,4992,6430,4996,6428,5003,6421,5005,6417,5009,6408,5010,6403,5010,6392xe" filled="true" fillcolor="#000000" stroked="false">
                  <v:path arrowok="t"/>
                  <v:fill type="solid"/>
                </v:shape>
                <v:shape style="position:absolute;left:0;top:4845;width:4425;height:4920" id="docshape7" coordorigin="0,4845" coordsize="4425,4920" path="m4425,9390l0,9390,0,9765,4425,9765,4425,9390xm4425,7245l0,7245,0,7620,4425,7620,4425,7245xm4425,4845l0,4845,0,5220,4425,5220,4425,484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18"/>
        <w:rPr>
          <w:rFonts w:ascii="Arial"/>
          <w:b/>
          <w:sz w:val="26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31" w:lineRule="auto" w:before="134"/>
        <w:ind w:left="430" w:right="404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sarah.johnson@email.com</w:t>
        </w:r>
      </w:hyperlink>
      <w:r>
        <w:rPr/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>
          <w:w w:val="110"/>
        </w:rPr>
        <w:t>Los Angeles, CA</w:t>
      </w:r>
    </w:p>
    <w:p>
      <w:pPr>
        <w:pStyle w:val="Heading1"/>
        <w:spacing w:before="155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28"/>
        <w:rPr>
          <w:rFonts w:ascii="Arial"/>
          <w:b/>
          <w:sz w:val="26"/>
        </w:rPr>
      </w:pPr>
    </w:p>
    <w:p>
      <w:pPr>
        <w:pStyle w:val="BodyText"/>
        <w:ind w:left="807" w:hanging="372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Science</w:t>
      </w:r>
      <w:r>
        <w:rPr>
          <w:spacing w:val="14"/>
        </w:rPr>
        <w:t> </w:t>
      </w:r>
      <w:r>
        <w:rPr/>
        <w:t>(B.S.)</w:t>
      </w:r>
      <w:r>
        <w:rPr>
          <w:spacing w:val="6"/>
        </w:rPr>
        <w:t> </w:t>
      </w:r>
      <w:r>
        <w:rPr>
          <w:spacing w:val="-2"/>
        </w:rPr>
        <w:t>Accounting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07"/>
      </w:pPr>
      <w:r>
        <w:rPr/>
        <w:t>University of Southern California, Los Angeles, CA </w:t>
      </w:r>
      <w:r>
        <w:rPr>
          <w:w w:val="85"/>
        </w:rPr>
        <w:t>| </w:t>
      </w:r>
      <w:r>
        <w:rPr/>
        <w:t>May 2021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073762"/>
          <w:spacing w:val="-11"/>
          <w:sz w:val="44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29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0" w:after="0"/>
        <w:ind w:left="732" w:right="201" w:hanging="304"/>
        <w:jc w:val="left"/>
        <w:rPr>
          <w:sz w:val="18"/>
        </w:rPr>
      </w:pPr>
      <w:r>
        <w:rPr>
          <w:w w:val="105"/>
          <w:sz w:val="18"/>
        </w:rPr>
        <w:t>Bank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reconciliations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journal </w:t>
      </w:r>
      <w:r>
        <w:rPr>
          <w:spacing w:val="-2"/>
          <w:w w:val="105"/>
          <w:sz w:val="18"/>
        </w:rPr>
        <w:t>entries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Financial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statement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AP</w:t>
      </w:r>
      <w:r>
        <w:rPr>
          <w:spacing w:val="-1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receivable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General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ledger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Tax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Heading1"/>
        <w:spacing w:before="133"/>
      </w:pPr>
      <w:r>
        <w:rPr>
          <w:b w:val="0"/>
        </w:rPr>
        <w:br w:type="column"/>
      </w: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ROFESSIONAL</w:t>
      </w:r>
      <w:r>
        <w:rPr>
          <w:color w:val="073762"/>
          <w:spacing w:val="3"/>
        </w:rPr>
        <w:t> </w:t>
      </w:r>
      <w:r>
        <w:rPr>
          <w:color w:val="073762"/>
          <w:spacing w:val="-2"/>
        </w:rPr>
        <w:t>EXPERIENCE</w:t>
      </w:r>
    </w:p>
    <w:p>
      <w:pPr>
        <w:pStyle w:val="BodyText"/>
        <w:spacing w:before="24"/>
        <w:rPr>
          <w:rFonts w:ascii="Arial"/>
          <w:b/>
          <w:sz w:val="26"/>
        </w:rPr>
      </w:pPr>
    </w:p>
    <w:p>
      <w:pPr>
        <w:pStyle w:val="BodyText"/>
        <w:spacing w:line="326" w:lineRule="auto"/>
        <w:ind w:left="100" w:right="516"/>
      </w:pPr>
      <w:r>
        <w:rPr>
          <w:w w:val="110"/>
        </w:rPr>
        <w:t>JUNIOR</w:t>
      </w:r>
      <w:r>
        <w:rPr>
          <w:spacing w:val="-1"/>
          <w:w w:val="110"/>
        </w:rPr>
        <w:t> </w:t>
      </w:r>
      <w:r>
        <w:rPr>
          <w:w w:val="110"/>
        </w:rPr>
        <w:t>ACCOUNTANT</w:t>
      </w:r>
      <w:r>
        <w:rPr>
          <w:spacing w:val="-1"/>
          <w:w w:val="110"/>
        </w:rPr>
        <w:t> </w:t>
      </w:r>
      <w:r>
        <w:rPr>
          <w:w w:val="85"/>
        </w:rPr>
        <w:t>| </w:t>
      </w:r>
      <w:r>
        <w:rPr>
          <w:w w:val="110"/>
        </w:rPr>
        <w:t>BRIGHT</w:t>
      </w:r>
      <w:r>
        <w:rPr>
          <w:spacing w:val="-1"/>
          <w:w w:val="110"/>
        </w:rPr>
        <w:t> </w:t>
      </w:r>
      <w:r>
        <w:rPr>
          <w:w w:val="110"/>
        </w:rPr>
        <w:t>FINANCIAL</w:t>
      </w:r>
      <w:r>
        <w:rPr>
          <w:spacing w:val="-1"/>
          <w:w w:val="110"/>
        </w:rPr>
        <w:t> </w:t>
      </w:r>
      <w:r>
        <w:rPr>
          <w:w w:val="110"/>
        </w:rPr>
        <w:t>GROUP, LOS</w:t>
      </w:r>
      <w:r>
        <w:rPr>
          <w:spacing w:val="-1"/>
          <w:w w:val="110"/>
        </w:rPr>
        <w:t> </w:t>
      </w:r>
      <w:r>
        <w:rPr>
          <w:w w:val="110"/>
        </w:rPr>
        <w:t>ANGELES, CA MAY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96"/>
        <w:ind w:left="658" w:right="163"/>
      </w:pPr>
      <w:r>
        <w:rPr>
          <w:spacing w:val="-2"/>
          <w:w w:val="110"/>
        </w:rPr>
        <w:t>Reconcile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bank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statements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general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ledger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accounts,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reducing </w:t>
      </w:r>
      <w:r>
        <w:rPr>
          <w:w w:val="110"/>
        </w:rPr>
        <w:t>discrepancies by 20%</w:t>
      </w:r>
    </w:p>
    <w:p>
      <w:pPr>
        <w:pStyle w:val="BodyText"/>
        <w:spacing w:line="276" w:lineRule="auto" w:before="75"/>
        <w:ind w:left="658"/>
      </w:pPr>
      <w:r>
        <w:rPr>
          <w:w w:val="105"/>
        </w:rPr>
        <w:t>Assist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preparing</w:t>
      </w:r>
      <w:r>
        <w:rPr>
          <w:spacing w:val="-10"/>
          <w:w w:val="105"/>
        </w:rPr>
        <w:t> </w:t>
      </w:r>
      <w:r>
        <w:rPr>
          <w:w w:val="105"/>
        </w:rPr>
        <w:t>monthly</w:t>
      </w:r>
      <w:r>
        <w:rPr>
          <w:spacing w:val="-15"/>
          <w:w w:val="105"/>
        </w:rPr>
        <w:t> </w:t>
      </w:r>
      <w:r>
        <w:rPr>
          <w:w w:val="105"/>
        </w:rPr>
        <w:t>financial</w:t>
      </w:r>
      <w:r>
        <w:rPr>
          <w:spacing w:val="-16"/>
          <w:w w:val="105"/>
        </w:rPr>
        <w:t> </w:t>
      </w:r>
      <w:r>
        <w:rPr>
          <w:w w:val="105"/>
        </w:rPr>
        <w:t>reports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tax</w:t>
      </w:r>
      <w:r>
        <w:rPr>
          <w:spacing w:val="-10"/>
          <w:w w:val="105"/>
        </w:rPr>
        <w:t> </w:t>
      </w:r>
      <w:r>
        <w:rPr>
          <w:w w:val="105"/>
        </w:rPr>
        <w:t>filings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corporate clients, ensuring accuracy and compliance</w:t>
      </w:r>
    </w:p>
    <w:p>
      <w:pPr>
        <w:pStyle w:val="BodyText"/>
        <w:spacing w:line="259" w:lineRule="auto" w:before="89"/>
        <w:ind w:left="658" w:right="163"/>
      </w:pPr>
      <w:r>
        <w:rPr>
          <w:w w:val="105"/>
        </w:rPr>
        <w:t>Collaborate</w:t>
      </w:r>
      <w:r>
        <w:rPr>
          <w:spacing w:val="-7"/>
          <w:w w:val="105"/>
        </w:rPr>
        <w:t> </w:t>
      </w:r>
      <w:r>
        <w:rPr>
          <w:w w:val="105"/>
        </w:rPr>
        <w:t>with auditors by</w:t>
      </w:r>
      <w:r>
        <w:rPr>
          <w:spacing w:val="-6"/>
          <w:w w:val="105"/>
        </w:rPr>
        <w:t> </w:t>
      </w:r>
      <w:r>
        <w:rPr>
          <w:w w:val="105"/>
        </w:rPr>
        <w:t>compiling financial</w:t>
      </w:r>
      <w:r>
        <w:rPr>
          <w:spacing w:val="-7"/>
          <w:w w:val="105"/>
        </w:rPr>
        <w:t> </w:t>
      </w:r>
      <w:r>
        <w:rPr>
          <w:w w:val="105"/>
        </w:rPr>
        <w:t>records and supporting documentation for annual reviews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45" w:lineRule="auto"/>
        <w:ind w:left="100" w:right="1120"/>
      </w:pPr>
      <w:r>
        <w:rPr>
          <w:w w:val="110"/>
        </w:rPr>
        <w:t>ACCOUNTING</w:t>
      </w:r>
      <w:r>
        <w:rPr>
          <w:spacing w:val="-2"/>
          <w:w w:val="110"/>
        </w:rPr>
        <w:t> </w:t>
      </w:r>
      <w:r>
        <w:rPr>
          <w:w w:val="110"/>
        </w:rPr>
        <w:t>INTERN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MILLER</w:t>
      </w:r>
      <w:r>
        <w:rPr>
          <w:spacing w:val="-2"/>
          <w:w w:val="110"/>
        </w:rPr>
        <w:t> </w:t>
      </w:r>
      <w:r>
        <w:rPr>
          <w:w w:val="110"/>
        </w:rPr>
        <w:t>&amp;</w:t>
      </w:r>
      <w:r>
        <w:rPr>
          <w:spacing w:val="-2"/>
          <w:w w:val="110"/>
        </w:rPr>
        <w:t> </w:t>
      </w:r>
      <w:r>
        <w:rPr>
          <w:w w:val="110"/>
        </w:rPr>
        <w:t>CO.</w:t>
      </w:r>
      <w:r>
        <w:rPr>
          <w:spacing w:val="-2"/>
          <w:w w:val="110"/>
        </w:rPr>
        <w:t> </w:t>
      </w:r>
      <w:r>
        <w:rPr>
          <w:w w:val="110"/>
        </w:rPr>
        <w:t>CPAS,</w:t>
      </w:r>
      <w:r>
        <w:rPr>
          <w:spacing w:val="-2"/>
          <w:w w:val="110"/>
        </w:rPr>
        <w:t> </w:t>
      </w:r>
      <w:r>
        <w:rPr>
          <w:w w:val="110"/>
        </w:rPr>
        <w:t>LOS</w:t>
      </w:r>
      <w:r>
        <w:rPr>
          <w:spacing w:val="-9"/>
          <w:w w:val="110"/>
        </w:rPr>
        <w:t> </w:t>
      </w:r>
      <w:r>
        <w:rPr>
          <w:w w:val="110"/>
        </w:rPr>
        <w:t>ANGELES,</w:t>
      </w:r>
      <w:r>
        <w:rPr>
          <w:spacing w:val="-2"/>
          <w:w w:val="110"/>
        </w:rPr>
        <w:t> </w:t>
      </w:r>
      <w:r>
        <w:rPr>
          <w:w w:val="110"/>
        </w:rPr>
        <w:t>CA JUNE 2021 </w:t>
      </w:r>
      <w:r>
        <w:rPr>
          <w:w w:val="130"/>
        </w:rPr>
        <w:t>– </w:t>
      </w:r>
      <w:r>
        <w:rPr>
          <w:w w:val="110"/>
        </w:rPr>
        <w:t>MAY 2022</w:t>
      </w:r>
    </w:p>
    <w:p>
      <w:pPr>
        <w:pStyle w:val="BodyText"/>
        <w:spacing w:line="276" w:lineRule="auto" w:before="164"/>
        <w:ind w:left="658"/>
      </w:pPr>
      <w:r>
        <w:rPr>
          <w:w w:val="105"/>
        </w:rPr>
        <w:t>Supported month-end close processes by entering journal entries and reconciling accounts, improving reporting efficiency</w:t>
      </w:r>
    </w:p>
    <w:p>
      <w:pPr>
        <w:pStyle w:val="BodyText"/>
        <w:spacing w:line="259" w:lineRule="auto" w:before="89"/>
        <w:ind w:left="658" w:right="163"/>
      </w:pPr>
      <w:r>
        <w:rPr>
          <w:w w:val="105"/>
        </w:rPr>
        <w:t>Processed invoices and payments, ensuring timely</w:t>
      </w:r>
      <w:r>
        <w:rPr>
          <w:spacing w:val="-4"/>
          <w:w w:val="105"/>
        </w:rPr>
        <w:t> </w:t>
      </w:r>
      <w:r>
        <w:rPr>
          <w:w w:val="105"/>
        </w:rPr>
        <w:t>vendor transactions and accurate AP records</w:t>
      </w:r>
    </w:p>
    <w:p>
      <w:pPr>
        <w:pStyle w:val="BodyText"/>
        <w:spacing w:line="276" w:lineRule="auto" w:before="103"/>
        <w:ind w:left="658" w:right="163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preparing</w:t>
      </w:r>
      <w:r>
        <w:rPr>
          <w:spacing w:val="-7"/>
          <w:w w:val="105"/>
        </w:rPr>
        <w:t> </w:t>
      </w:r>
      <w:r>
        <w:rPr>
          <w:w w:val="105"/>
        </w:rPr>
        <w:t>tax</w:t>
      </w:r>
      <w:r>
        <w:rPr>
          <w:spacing w:val="-7"/>
          <w:w w:val="105"/>
        </w:rPr>
        <w:t> </w:t>
      </w:r>
      <w:r>
        <w:rPr>
          <w:w w:val="105"/>
        </w:rPr>
        <w:t>returns,</w:t>
      </w:r>
      <w:r>
        <w:rPr>
          <w:spacing w:val="-7"/>
          <w:w w:val="105"/>
        </w:rPr>
        <w:t> </w:t>
      </w:r>
      <w:r>
        <w:rPr>
          <w:w w:val="105"/>
        </w:rPr>
        <w:t>reducing</w:t>
      </w:r>
      <w:r>
        <w:rPr>
          <w:spacing w:val="-7"/>
          <w:w w:val="105"/>
        </w:rPr>
        <w:t> </w:t>
      </w:r>
      <w:r>
        <w:rPr>
          <w:w w:val="105"/>
        </w:rPr>
        <w:t>filing</w:t>
      </w:r>
      <w:r>
        <w:rPr>
          <w:spacing w:val="-7"/>
          <w:w w:val="105"/>
        </w:rPr>
        <w:t> </w:t>
      </w:r>
      <w:r>
        <w:rPr>
          <w:w w:val="105"/>
        </w:rPr>
        <w:t>errors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improving accuracy for small business clients</w:t>
      </w:r>
    </w:p>
    <w:p>
      <w:pPr>
        <w:pStyle w:val="Heading1"/>
        <w:spacing w:before="191"/>
      </w:pPr>
      <w:r>
        <w:rPr>
          <w:color w:val="073762"/>
          <w:spacing w:val="-2"/>
          <w:sz w:val="44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24"/>
        <w:rPr>
          <w:rFonts w:ascii="Arial"/>
          <w:b/>
          <w:sz w:val="26"/>
        </w:rPr>
      </w:pPr>
    </w:p>
    <w:p>
      <w:pPr>
        <w:pStyle w:val="BodyText"/>
        <w:ind w:left="100"/>
      </w:pPr>
      <w:r>
        <w:rPr/>
        <w:t>Certified</w:t>
      </w:r>
      <w:r>
        <w:rPr>
          <w:spacing w:val="15"/>
        </w:rPr>
        <w:t> </w:t>
      </w:r>
      <w:r>
        <w:rPr/>
        <w:t>Public</w:t>
      </w:r>
      <w:r>
        <w:rPr>
          <w:spacing w:val="6"/>
        </w:rPr>
        <w:t> </w:t>
      </w:r>
      <w:r>
        <w:rPr/>
        <w:t>Accountant</w:t>
      </w:r>
      <w:r>
        <w:rPr>
          <w:spacing w:val="16"/>
        </w:rPr>
        <w:t> </w:t>
      </w:r>
      <w:r>
        <w:rPr/>
        <w:t>(CPA)</w:t>
      </w:r>
      <w:r>
        <w:rPr>
          <w:spacing w:val="15"/>
        </w:rPr>
        <w:t> </w:t>
      </w:r>
      <w:r>
        <w:rPr/>
        <w:t>Candidate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June</w:t>
      </w:r>
      <w:r>
        <w:rPr>
          <w:spacing w:val="15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880" w:bottom="280" w:left="141" w:right="283"/>
      <w:cols w:num="2" w:equalWidth="0">
        <w:col w:w="3662" w:space="765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2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0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9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7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arah.johnson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2026-02-20T12:13:09Z</dcterms:created>
  <dcterms:modified xsi:type="dcterms:W3CDTF">2026-02-20T12:13:09Z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