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79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25"/>
          <w:sz w:val="78"/>
        </w:rPr>
        <w:t>Micha</w:t>
      </w:r>
      <w:r>
        <w:rPr>
          <w:rFonts w:ascii="Calibri"/>
          <w:b/>
          <w:color w:val="FFFFFF"/>
          <w:spacing w:val="-18"/>
          <w:w w:val="125"/>
          <w:sz w:val="78"/>
        </w:rPr>
        <w:t> </w:t>
      </w:r>
      <w:r>
        <w:rPr>
          <w:rFonts w:ascii="Calibri"/>
          <w:color w:val="FFFFFF"/>
          <w:spacing w:val="8"/>
          <w:w w:val="125"/>
          <w:sz w:val="78"/>
        </w:rPr>
        <w:t>Carter</w:t>
      </w:r>
    </w:p>
    <w:p>
      <w:pPr>
        <w:pStyle w:val="Heading1"/>
      </w:pPr>
      <w:r>
        <w:rPr>
          <w:color w:val="FFFFFF"/>
          <w:spacing w:val="-2"/>
          <w:w w:val="130"/>
        </w:rPr>
        <w:t>Executive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Consultant</w:t>
      </w:r>
    </w:p>
    <w:p>
      <w:pPr>
        <w:pStyle w:val="BodyText"/>
        <w:spacing w:before="183"/>
        <w:rPr>
          <w:rFonts w:ascii="Calibri"/>
          <w:b/>
          <w:sz w:val="16"/>
        </w:rPr>
      </w:pPr>
    </w:p>
    <w:p>
      <w:pPr>
        <w:spacing w:line="268" w:lineRule="auto" w:before="0"/>
        <w:ind w:left="379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Experienced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executive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consultant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10+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corporate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strategy,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leadership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coaching,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organizational </w:t>
      </w:r>
      <w:r>
        <w:rPr>
          <w:color w:val="FFFFFF"/>
          <w:spacing w:val="-2"/>
          <w:w w:val="125"/>
          <w:sz w:val="16"/>
        </w:rPr>
        <w:t>development.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6"/>
      </w:pP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</w:sectPr>
      </w:pPr>
    </w:p>
    <w:p>
      <w:pPr>
        <w:spacing w:before="112"/>
        <w:ind w:left="807" w:right="0" w:firstLine="0"/>
        <w:jc w:val="left"/>
        <w:rPr>
          <w:sz w:val="18"/>
        </w:rPr>
      </w:pPr>
      <w:r>
        <w:rPr>
          <w:w w:val="120"/>
          <w:sz w:val="18"/>
        </w:rPr>
        <w:t>Chicago,</w:t>
      </w:r>
      <w:r>
        <w:rPr>
          <w:spacing w:val="9"/>
          <w:w w:val="125"/>
          <w:sz w:val="18"/>
        </w:rPr>
        <w:t> </w:t>
      </w:r>
      <w:r>
        <w:rPr>
          <w:spacing w:val="-5"/>
          <w:w w:val="125"/>
          <w:sz w:val="18"/>
        </w:rPr>
        <w:t>IL</w:t>
      </w:r>
    </w:p>
    <w:p>
      <w:pPr>
        <w:pStyle w:val="BodyText"/>
        <w:spacing w:before="208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w w:val="120"/>
          <w:sz w:val="18"/>
        </w:rPr>
        <w:t>(555)</w:t>
      </w:r>
      <w:r>
        <w:rPr>
          <w:spacing w:val="5"/>
          <w:w w:val="120"/>
          <w:sz w:val="18"/>
        </w:rPr>
        <w:t> </w:t>
      </w:r>
      <w:r>
        <w:rPr>
          <w:spacing w:val="-2"/>
          <w:w w:val="120"/>
          <w:sz w:val="18"/>
        </w:rPr>
        <w:t>876-</w:t>
      </w:r>
      <w:r>
        <w:rPr>
          <w:spacing w:val="-4"/>
          <w:w w:val="120"/>
          <w:sz w:val="18"/>
        </w:rPr>
        <w:t>5432</w:t>
      </w:r>
    </w:p>
    <w:p>
      <w:pPr>
        <w:pStyle w:val="BodyText"/>
        <w:spacing w:before="178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20"/>
            <w:sz w:val="18"/>
          </w:rPr>
          <w:t>micha.carter@email.com</w:t>
        </w:r>
      </w:hyperlink>
    </w:p>
    <w:p>
      <w:pPr>
        <w:pStyle w:val="BodyText"/>
        <w:spacing w:before="23"/>
      </w:pPr>
      <w:r>
        <w:rPr/>
        <w:br w:type="column"/>
      </w:r>
      <w:r>
        <w:rPr/>
      </w:r>
    </w:p>
    <w:p>
      <w:pPr>
        <w:pStyle w:val="Heading2"/>
        <w:ind w:left="993"/>
      </w:pPr>
      <w:r>
        <w:rPr>
          <w:color w:val="FFFFFF"/>
          <w:w w:val="130"/>
        </w:rPr>
        <w:t>PROFESSIONAL</w:t>
      </w:r>
      <w:r>
        <w:rPr>
          <w:color w:val="FFFFFF"/>
          <w:spacing w:val="30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spacing w:before="237"/>
        <w:ind w:left="0" w:right="974" w:firstLine="0"/>
        <w:jc w:val="center"/>
        <w:rPr>
          <w:sz w:val="20"/>
        </w:rPr>
      </w:pPr>
      <w:r>
        <w:rPr>
          <w:spacing w:val="-10"/>
          <w:w w:val="135"/>
          <w:sz w:val="20"/>
        </w:rPr>
        <w:t>|</w:t>
      </w:r>
    </w:p>
    <w:p>
      <w:pPr>
        <w:pStyle w:val="BodyText"/>
        <w:spacing w:before="40"/>
      </w:pPr>
    </w:p>
    <w:p>
      <w:pPr>
        <w:pStyle w:val="BodyText"/>
        <w:spacing w:before="1"/>
        <w:ind w:left="807"/>
      </w:pPr>
      <w:r>
        <w:rPr>
          <w:w w:val="120"/>
        </w:rPr>
        <w:t>JUNE</w:t>
      </w:r>
      <w:r>
        <w:rPr>
          <w:spacing w:val="-13"/>
          <w:w w:val="120"/>
        </w:rPr>
        <w:t> </w:t>
      </w:r>
      <w:r>
        <w:rPr>
          <w:w w:val="120"/>
        </w:rPr>
        <w:t>2019</w:t>
      </w:r>
      <w:r>
        <w:rPr>
          <w:spacing w:val="-12"/>
          <w:w w:val="120"/>
        </w:rPr>
        <w:t> </w:t>
      </w:r>
      <w:r>
        <w:rPr>
          <w:w w:val="120"/>
        </w:rPr>
        <w:t>–</w:t>
      </w:r>
      <w:r>
        <w:rPr>
          <w:spacing w:val="-12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  <w:cols w:num="2" w:equalWidth="0">
            <w:col w:w="3170" w:space="48"/>
            <w:col w:w="8136"/>
          </w:cols>
        </w:sectPr>
      </w:pPr>
    </w:p>
    <w:p>
      <w:pPr>
        <w:pStyle w:val="BodyText"/>
        <w:spacing w:before="163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w w:val="120"/>
          <w:sz w:val="18"/>
        </w:rPr>
        <w:t>LinkedIn</w:t>
      </w:r>
    </w:p>
    <w:p>
      <w:pPr>
        <w:pStyle w:val="BodyText"/>
        <w:spacing w:before="173"/>
        <w:rPr>
          <w:sz w:val="18"/>
        </w:rPr>
      </w:pPr>
    </w:p>
    <w:p>
      <w:pPr>
        <w:pStyle w:val="Heading2"/>
        <w:spacing w:before="1"/>
      </w:pPr>
      <w:r>
        <w:rPr>
          <w:color w:val="FFFFFF"/>
          <w:w w:val="135"/>
        </w:rPr>
        <w:t>KEY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0" w:lineRule="auto" w:before="119" w:after="0"/>
        <w:ind w:left="342" w:right="248" w:hanging="298"/>
        <w:jc w:val="left"/>
        <w:rPr>
          <w:sz w:val="20"/>
        </w:rPr>
      </w:pPr>
      <w:r>
        <w:rPr/>
        <w:br w:type="column"/>
      </w:r>
      <w:r>
        <w:rPr>
          <w:spacing w:val="-2"/>
          <w:w w:val="120"/>
          <w:sz w:val="20"/>
        </w:rPr>
        <w:t>Provided</w:t>
      </w:r>
      <w:r>
        <w:rPr>
          <w:spacing w:val="-5"/>
          <w:w w:val="120"/>
          <w:sz w:val="20"/>
        </w:rPr>
        <w:t> </w:t>
      </w:r>
      <w:r>
        <w:rPr>
          <w:spacing w:val="-2"/>
          <w:w w:val="120"/>
          <w:sz w:val="20"/>
        </w:rPr>
        <w:t>leadership</w:t>
      </w:r>
      <w:r>
        <w:rPr>
          <w:spacing w:val="-5"/>
          <w:w w:val="120"/>
          <w:sz w:val="20"/>
        </w:rPr>
        <w:t> </w:t>
      </w:r>
      <w:r>
        <w:rPr>
          <w:spacing w:val="-2"/>
          <w:w w:val="120"/>
          <w:sz w:val="20"/>
        </w:rPr>
        <w:t>coaching</w:t>
      </w:r>
      <w:r>
        <w:rPr>
          <w:spacing w:val="-5"/>
          <w:w w:val="120"/>
          <w:sz w:val="20"/>
        </w:rPr>
        <w:t> </w:t>
      </w:r>
      <w:r>
        <w:rPr>
          <w:spacing w:val="-2"/>
          <w:w w:val="120"/>
          <w:sz w:val="20"/>
        </w:rPr>
        <w:t>for</w:t>
      </w:r>
      <w:r>
        <w:rPr>
          <w:spacing w:val="-5"/>
          <w:w w:val="120"/>
          <w:sz w:val="20"/>
        </w:rPr>
        <w:t> </w:t>
      </w:r>
      <w:r>
        <w:rPr>
          <w:spacing w:val="-2"/>
          <w:w w:val="120"/>
          <w:sz w:val="20"/>
        </w:rPr>
        <w:t>CEOs</w:t>
      </w:r>
      <w:r>
        <w:rPr>
          <w:spacing w:val="-5"/>
          <w:w w:val="120"/>
          <w:sz w:val="20"/>
        </w:rPr>
        <w:t> </w:t>
      </w:r>
      <w:r>
        <w:rPr>
          <w:spacing w:val="-2"/>
          <w:w w:val="120"/>
          <w:sz w:val="20"/>
        </w:rPr>
        <w:t>and</w:t>
      </w:r>
      <w:r>
        <w:rPr>
          <w:spacing w:val="-5"/>
          <w:w w:val="120"/>
          <w:sz w:val="20"/>
        </w:rPr>
        <w:t> </w:t>
      </w:r>
      <w:r>
        <w:rPr>
          <w:spacing w:val="-2"/>
          <w:w w:val="120"/>
          <w:sz w:val="20"/>
        </w:rPr>
        <w:t>executives,</w:t>
      </w:r>
      <w:r>
        <w:rPr>
          <w:spacing w:val="-5"/>
          <w:w w:val="120"/>
          <w:sz w:val="20"/>
        </w:rPr>
        <w:t> </w:t>
      </w:r>
      <w:r>
        <w:rPr>
          <w:spacing w:val="-2"/>
          <w:w w:val="120"/>
          <w:sz w:val="20"/>
        </w:rPr>
        <w:t>improving </w:t>
      </w:r>
      <w:r>
        <w:rPr>
          <w:w w:val="120"/>
          <w:sz w:val="20"/>
        </w:rPr>
        <w:t>management effectiveness by 40%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5" w:lineRule="auto" w:before="42" w:after="0"/>
        <w:ind w:left="342" w:right="786" w:hanging="298"/>
        <w:jc w:val="left"/>
        <w:rPr>
          <w:sz w:val="20"/>
        </w:rPr>
      </w:pPr>
      <w:r>
        <w:rPr>
          <w:w w:val="115"/>
          <w:position w:val="1"/>
          <w:sz w:val="20"/>
        </w:rPr>
        <w:t>Advised on corporate restructuring strategies that increased </w:t>
      </w:r>
      <w:r>
        <w:rPr>
          <w:w w:val="120"/>
          <w:sz w:val="20"/>
        </w:rPr>
        <w:t>profitability by 25%</w:t>
      </w:r>
    </w:p>
    <w:p>
      <w:pPr>
        <w:pStyle w:val="ListParagraph"/>
        <w:spacing w:after="0" w:line="225" w:lineRule="auto"/>
        <w:jc w:val="left"/>
        <w:rPr>
          <w:sz w:val="20"/>
        </w:rPr>
        <w:sectPr>
          <w:type w:val="continuous"/>
          <w:pgSz w:w="11920" w:h="16860"/>
          <w:pgMar w:top="740" w:bottom="280" w:left="141" w:right="425"/>
          <w:cols w:num="2" w:equalWidth="0">
            <w:col w:w="1638" w:space="2528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104" w:after="0"/>
        <w:ind w:left="677" w:right="263" w:hanging="298"/>
        <w:jc w:val="left"/>
        <w:rPr>
          <w:sz w:val="20"/>
        </w:rPr>
      </w:pPr>
      <w:r>
        <w:rPr>
          <w:w w:val="115"/>
          <w:position w:val="1"/>
          <w:sz w:val="20"/>
        </w:rPr>
        <w:t>Executive leadership </w:t>
      </w:r>
      <w:r>
        <w:rPr>
          <w:spacing w:val="-2"/>
          <w:w w:val="120"/>
          <w:sz w:val="20"/>
        </w:rPr>
        <w:t>coaching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0" w:lineRule="auto" w:before="27" w:after="0"/>
        <w:ind w:left="677" w:right="38" w:hanging="298"/>
        <w:jc w:val="left"/>
        <w:rPr>
          <w:sz w:val="20"/>
        </w:rPr>
      </w:pPr>
      <w:r>
        <w:rPr>
          <w:w w:val="115"/>
          <w:position w:val="1"/>
          <w:sz w:val="20"/>
        </w:rPr>
        <w:t>Corporate strategy and </w:t>
      </w:r>
      <w:r>
        <w:rPr>
          <w:spacing w:val="-2"/>
          <w:w w:val="120"/>
          <w:sz w:val="20"/>
        </w:rPr>
        <w:t>restructuring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44" w:after="0"/>
        <w:ind w:left="677" w:right="96" w:hanging="298"/>
        <w:jc w:val="left"/>
        <w:rPr>
          <w:sz w:val="20"/>
        </w:rPr>
      </w:pPr>
      <w:r>
        <w:rPr/>
        <w:br w:type="column"/>
      </w:r>
      <w:r>
        <w:rPr>
          <w:spacing w:val="-2"/>
          <w:w w:val="120"/>
          <w:position w:val="1"/>
          <w:sz w:val="20"/>
        </w:rPr>
        <w:t>Conduct</w:t>
      </w:r>
      <w:r>
        <w:rPr>
          <w:spacing w:val="-6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executive</w:t>
      </w:r>
      <w:r>
        <w:rPr>
          <w:spacing w:val="-6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workshops</w:t>
      </w:r>
      <w:r>
        <w:rPr>
          <w:spacing w:val="-6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on</w:t>
      </w:r>
      <w:r>
        <w:rPr>
          <w:spacing w:val="-6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business</w:t>
      </w:r>
      <w:r>
        <w:rPr>
          <w:spacing w:val="-6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innovation</w:t>
      </w:r>
      <w:r>
        <w:rPr>
          <w:spacing w:val="-6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and</w:t>
      </w:r>
      <w:r>
        <w:rPr>
          <w:spacing w:val="-6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strategic </w:t>
      </w:r>
      <w:r>
        <w:rPr>
          <w:spacing w:val="-2"/>
          <w:w w:val="120"/>
          <w:sz w:val="20"/>
        </w:rPr>
        <w:t>planning</w:t>
      </w:r>
    </w:p>
    <w:p>
      <w:pPr>
        <w:pStyle w:val="BodyText"/>
        <w:spacing w:before="148"/>
      </w:pPr>
    </w:p>
    <w:p>
      <w:pPr>
        <w:spacing w:before="1"/>
        <w:ind w:left="855" w:right="0" w:firstLine="0"/>
        <w:jc w:val="center"/>
        <w:rPr>
          <w:sz w:val="20"/>
        </w:rPr>
      </w:pPr>
      <w:r>
        <w:rPr>
          <w:spacing w:val="-10"/>
          <w:w w:val="135"/>
          <w:sz w:val="20"/>
        </w:rPr>
        <w:t>|</w:t>
      </w:r>
    </w:p>
    <w:p>
      <w:pPr>
        <w:spacing w:after="0"/>
        <w:jc w:val="center"/>
        <w:rPr>
          <w:sz w:val="20"/>
        </w:rPr>
        <w:sectPr>
          <w:type w:val="continuous"/>
          <w:pgSz w:w="11920" w:h="16860"/>
          <w:pgMar w:top="740" w:bottom="280" w:left="141" w:right="425"/>
          <w:cols w:num="2" w:equalWidth="0">
            <w:col w:w="3028" w:space="803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42" w:after="0"/>
        <w:ind w:left="677" w:right="38" w:hanging="298"/>
        <w:jc w:val="left"/>
        <w:rPr>
          <w:sz w:val="20"/>
        </w:rPr>
      </w:pPr>
      <w:r>
        <w:rPr>
          <w:spacing w:val="-2"/>
          <w:w w:val="120"/>
          <w:position w:val="1"/>
          <w:sz w:val="20"/>
        </w:rPr>
        <w:t>Organizational</w:t>
      </w:r>
      <w:r>
        <w:rPr>
          <w:spacing w:val="-5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change </w:t>
      </w:r>
      <w:r>
        <w:rPr>
          <w:spacing w:val="-2"/>
          <w:w w:val="120"/>
          <w:sz w:val="20"/>
        </w:rPr>
        <w:t>management</w:t>
      </w:r>
    </w:p>
    <w:p>
      <w:pPr>
        <w:pStyle w:val="BodyText"/>
        <w:spacing w:before="215"/>
        <w:ind w:left="379"/>
      </w:pPr>
      <w:r>
        <w:rPr/>
        <w:br w:type="column"/>
      </w:r>
      <w:r>
        <w:rPr>
          <w:spacing w:val="-2"/>
          <w:w w:val="120"/>
        </w:rPr>
        <w:t>JULY</w:t>
      </w:r>
      <w:r>
        <w:rPr>
          <w:spacing w:val="-8"/>
          <w:w w:val="120"/>
        </w:rPr>
        <w:t> </w:t>
      </w:r>
      <w:r>
        <w:rPr>
          <w:spacing w:val="-2"/>
          <w:w w:val="120"/>
        </w:rPr>
        <w:t>2014</w:t>
      </w:r>
      <w:r>
        <w:rPr>
          <w:spacing w:val="-8"/>
          <w:w w:val="120"/>
        </w:rPr>
        <w:t> </w:t>
      </w:r>
      <w:r>
        <w:rPr>
          <w:spacing w:val="-2"/>
          <w:w w:val="120"/>
        </w:rPr>
        <w:t>–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MAY</w:t>
      </w:r>
      <w:r>
        <w:rPr>
          <w:spacing w:val="-8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  <w:cols w:num="2" w:equalWidth="0">
            <w:col w:w="2997" w:space="648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44" w:after="0"/>
        <w:ind w:left="677" w:right="38" w:hanging="298"/>
        <w:jc w:val="left"/>
        <w:rPr>
          <w:sz w:val="20"/>
        </w:rPr>
      </w:pPr>
      <w:r>
        <w:rPr>
          <w:spacing w:val="-2"/>
          <w:w w:val="120"/>
          <w:position w:val="1"/>
          <w:sz w:val="20"/>
        </w:rPr>
        <w:t>Mergers</w:t>
      </w:r>
      <w:r>
        <w:rPr>
          <w:spacing w:val="-12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and</w:t>
      </w:r>
      <w:r>
        <w:rPr>
          <w:spacing w:val="-11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acquisitions </w:t>
      </w:r>
      <w:r>
        <w:rPr>
          <w:spacing w:val="-2"/>
          <w:w w:val="120"/>
          <w:sz w:val="20"/>
        </w:rPr>
        <w:t>consulting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60" w:after="0"/>
        <w:ind w:left="677" w:right="237" w:hanging="298"/>
        <w:jc w:val="left"/>
        <w:rPr>
          <w:sz w:val="20"/>
        </w:rPr>
      </w:pPr>
      <w:r>
        <w:rPr>
          <w:w w:val="120"/>
          <w:position w:val="1"/>
          <w:sz w:val="20"/>
        </w:rPr>
        <w:t>High-level</w:t>
      </w:r>
      <w:r>
        <w:rPr>
          <w:spacing w:val="-14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stakeholder </w:t>
      </w:r>
      <w:r>
        <w:rPr>
          <w:spacing w:val="-2"/>
          <w:w w:val="125"/>
          <w:sz w:val="20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74" w:after="0"/>
        <w:ind w:left="677" w:right="400" w:hanging="298"/>
        <w:jc w:val="left"/>
        <w:rPr>
          <w:sz w:val="20"/>
        </w:rPr>
      </w:pPr>
      <w:r>
        <w:rPr/>
        <w:br w:type="column"/>
      </w:r>
      <w:r>
        <w:rPr>
          <w:w w:val="120"/>
          <w:position w:val="1"/>
          <w:sz w:val="20"/>
        </w:rPr>
        <w:t>Led organizational change initiatives, reducing ineficiencies by </w:t>
      </w:r>
      <w:r>
        <w:rPr>
          <w:spacing w:val="-4"/>
          <w:w w:val="120"/>
          <w:sz w:val="20"/>
        </w:rPr>
        <w:t>30%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45" w:after="0"/>
        <w:ind w:left="677" w:right="238" w:hanging="298"/>
        <w:jc w:val="left"/>
        <w:rPr>
          <w:sz w:val="20"/>
        </w:rPr>
      </w:pPr>
      <w:r>
        <w:rPr>
          <w:spacing w:val="-2"/>
          <w:w w:val="120"/>
          <w:position w:val="1"/>
          <w:sz w:val="20"/>
        </w:rPr>
        <w:t>Developed</w:t>
      </w:r>
      <w:r>
        <w:rPr>
          <w:spacing w:val="-7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business</w:t>
      </w:r>
      <w:r>
        <w:rPr>
          <w:spacing w:val="-7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strategies</w:t>
      </w:r>
      <w:r>
        <w:rPr>
          <w:spacing w:val="-7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that</w:t>
      </w:r>
      <w:r>
        <w:rPr>
          <w:spacing w:val="-7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helped</w:t>
      </w:r>
      <w:r>
        <w:rPr>
          <w:spacing w:val="-7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companies</w:t>
      </w:r>
      <w:r>
        <w:rPr>
          <w:spacing w:val="-7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expand</w:t>
      </w:r>
      <w:r>
        <w:rPr>
          <w:spacing w:val="-7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into </w:t>
      </w:r>
      <w:r>
        <w:rPr>
          <w:w w:val="120"/>
          <w:sz w:val="20"/>
        </w:rPr>
        <w:t>international markets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59" w:after="0"/>
        <w:ind w:left="677" w:right="413" w:hanging="298"/>
        <w:jc w:val="left"/>
        <w:rPr>
          <w:sz w:val="20"/>
        </w:rPr>
      </w:pPr>
      <w:r>
        <w:rPr>
          <w:w w:val="120"/>
          <w:position w:val="1"/>
          <w:sz w:val="20"/>
        </w:rPr>
        <w:t>Managed high-profile M&amp;A projects, streamlining post-merger </w:t>
      </w:r>
      <w:r>
        <w:rPr>
          <w:spacing w:val="-2"/>
          <w:w w:val="125"/>
          <w:sz w:val="20"/>
        </w:rPr>
        <w:t>integrations</w:t>
      </w:r>
    </w:p>
    <w:p>
      <w:pPr>
        <w:pStyle w:val="ListParagraph"/>
        <w:spacing w:after="0" w:line="225" w:lineRule="auto"/>
        <w:jc w:val="left"/>
        <w:rPr>
          <w:sz w:val="20"/>
        </w:rPr>
        <w:sectPr>
          <w:type w:val="continuous"/>
          <w:pgSz w:w="11920" w:h="16860"/>
          <w:pgMar w:top="740" w:bottom="280" w:left="141" w:right="425"/>
          <w:cols w:num="2" w:equalWidth="0">
            <w:col w:w="3258" w:space="573"/>
            <w:col w:w="7523"/>
          </w:cols>
        </w:sectPr>
      </w:pPr>
    </w:p>
    <w:p>
      <w:pPr>
        <w:pStyle w:val="BodyText"/>
        <w:spacing w:before="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575" y="1536360"/>
                            <a:ext cx="4015210" cy="121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4133849"/>
                            <a:ext cx="23526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76225">
                                <a:moveTo>
                                  <a:pt x="23526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384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09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004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47937" y="2705112"/>
                            <a:ext cx="4920615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448175">
                                <a:moveTo>
                                  <a:pt x="4920234" y="4181462"/>
                                </a:moveTo>
                                <a:lnTo>
                                  <a:pt x="0" y="4181462"/>
                                </a:lnTo>
                                <a:lnTo>
                                  <a:pt x="0" y="4448162"/>
                                </a:lnTo>
                                <a:lnTo>
                                  <a:pt x="4920234" y="4448162"/>
                                </a:lnTo>
                                <a:lnTo>
                                  <a:pt x="4920234" y="4181462"/>
                                </a:lnTo>
                                <a:close/>
                              </a:path>
                              <a:path w="4920615" h="44481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1116" y="3088956"/>
                            <a:ext cx="1694023" cy="1043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4515" y="3073636"/>
                            <a:ext cx="2295970" cy="1301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9701" y="3249839"/>
                            <a:ext cx="816835" cy="1320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3349" y="5060631"/>
                            <a:ext cx="2468248" cy="1043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50285" y="5045311"/>
                            <a:ext cx="1821132" cy="1301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1922" y="5221514"/>
                            <a:ext cx="974374" cy="1320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6496" id="docshapegroup1" coordorigin="0,0" coordsize="11919,16858">
                <v:rect style="position:absolute;left:0;top:15990;width:11919;height:868" id="docshape2" filled="true" fillcolor="#00184f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shape style="position:absolute;left:528;top:2419;width:6324;height:191" type="#_x0000_t75" id="docshape5" stroked="false">
                  <v:imagedata r:id="rId6" o:title=""/>
                </v:shape>
                <v:rect style="position:absolute;left:0;top:3900;width:3870;height:12090" id="docshape6" filled="true" fillcolor="#00184f" stroked="false">
                  <v:fill opacity="32899f" type="solid"/>
                </v:rect>
                <v:rect style="position:absolute;left:3855;top:3900;width:15;height:12090" id="docshape7" filled="true" fillcolor="#424242" stroked="false">
                  <v:fill type="solid"/>
                </v:rect>
                <v:rect style="position:absolute;left:0;top:6510;width:3705;height:435" id="docshape8" filled="true" fillcolor="#00184f" stroked="false">
                  <v:fill type="solid"/>
                </v:rect>
                <v:shape style="position:absolute;left:525;top:4110;width:255;height:360" type="#_x0000_t75" id="docshape9" stroked="false">
                  <v:imagedata r:id="rId7" o:title=""/>
                </v:shape>
                <v:shape style="position:absolute;left:525;top:4785;width:255;height:261" type="#_x0000_t75" id="docshape10" stroked="false">
                  <v:imagedata r:id="rId8" o:title=""/>
                </v:shape>
                <v:shape style="position:absolute;left:525;top:5370;width:255;height:300" type="#_x0000_t75" id="docshape11" stroked="false">
                  <v:imagedata r:id="rId9" o:title=""/>
                </v:shape>
                <v:shape style="position:absolute;left:525;top:5985;width:255;height:255" type="#_x0000_t75" id="docshape12" stroked="false">
                  <v:imagedata r:id="rId10" o:title=""/>
                </v:shape>
                <v:rect style="position:absolute;left:3870;top:3900;width:8049;height:12090" id="docshape13" filled="true" fillcolor="#00184f" stroked="false">
                  <v:fill opacity="32899f" type="solid"/>
                </v:rect>
                <v:shape style="position:absolute;left:4169;top:4260;width:7749;height:7005" id="docshape14" coordorigin="4170,4260" coordsize="7749,7005" path="m11918,10845l4170,10845,4170,11265,11918,11265,11918,10845xm11918,4260l4170,4260,4170,4680,11918,4680,11918,4260xe" filled="true" fillcolor="#00184f" stroked="false">
                  <v:path arrowok="t"/>
                  <v:fill type="solid"/>
                </v:shape>
                <v:shape style="position:absolute;left:4174;top:4864;width:2668;height:165" type="#_x0000_t75" id="docshape15" stroked="false">
                  <v:imagedata r:id="rId11" o:title=""/>
                </v:shape>
                <v:shape style="position:absolute;left:7046;top:4840;width:3616;height:205" type="#_x0000_t75" id="docshape16" stroked="false">
                  <v:imagedata r:id="rId12" o:title=""/>
                </v:shape>
                <v:shape style="position:absolute;left:4172;top:5117;width:1287;height:208" type="#_x0000_t75" id="docshape17" stroked="false">
                  <v:imagedata r:id="rId13" o:title=""/>
                </v:shape>
                <v:shape style="position:absolute;left:4178;top:7969;width:3887;height:165" type="#_x0000_t75" id="docshape18" stroked="false">
                  <v:imagedata r:id="rId14" o:title=""/>
                </v:shape>
                <v:shape style="position:absolute;left:8268;top:7945;width:2868;height:205" type="#_x0000_t75" id="docshape19" stroked="false">
                  <v:imagedata r:id="rId15" o:title=""/>
                </v:shape>
                <v:shape style="position:absolute;left:4176;top:8222;width:1535;height:208" type="#_x0000_t75" id="docshape20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210"/>
      </w:pPr>
      <w:r>
        <w:rPr>
          <w:color w:val="FFFFFF"/>
          <w:spacing w:val="-2"/>
          <w:w w:val="130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49" w:lineRule="exact" w:before="151" w:after="0"/>
        <w:ind w:left="4321" w:right="0" w:hanging="296"/>
        <w:jc w:val="left"/>
        <w:rPr>
          <w:position w:val="1"/>
          <w:sz w:val="20"/>
        </w:rPr>
      </w:pPr>
      <w:r>
        <w:rPr>
          <w:spacing w:val="-2"/>
          <w:w w:val="120"/>
          <w:position w:val="1"/>
          <w:sz w:val="20"/>
        </w:rPr>
        <w:t>Master</w:t>
      </w:r>
      <w:r>
        <w:rPr>
          <w:spacing w:val="-4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of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Business</w:t>
      </w:r>
      <w:r>
        <w:rPr>
          <w:spacing w:val="-4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Administration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4"/>
          <w:w w:val="120"/>
          <w:position w:val="1"/>
          <w:sz w:val="20"/>
        </w:rPr>
        <w:t>(MBA)</w:t>
      </w:r>
    </w:p>
    <w:p>
      <w:pPr>
        <w:pStyle w:val="BodyText"/>
        <w:spacing w:line="227" w:lineRule="exact"/>
        <w:ind w:left="4322"/>
      </w:pPr>
      <w:r>
        <w:rPr>
          <w:w w:val="120"/>
        </w:rPr>
        <w:t>Harvard</w:t>
      </w:r>
      <w:r>
        <w:rPr>
          <w:spacing w:val="-12"/>
          <w:w w:val="120"/>
        </w:rPr>
        <w:t> </w:t>
      </w:r>
      <w:r>
        <w:rPr>
          <w:w w:val="120"/>
        </w:rPr>
        <w:t>Business</w:t>
      </w:r>
      <w:r>
        <w:rPr>
          <w:spacing w:val="-11"/>
          <w:w w:val="120"/>
        </w:rPr>
        <w:t> </w:t>
      </w:r>
      <w:r>
        <w:rPr>
          <w:w w:val="120"/>
        </w:rPr>
        <w:t>School,</w:t>
      </w:r>
      <w:r>
        <w:rPr>
          <w:spacing w:val="-12"/>
          <w:w w:val="120"/>
        </w:rPr>
        <w:t> </w:t>
      </w:r>
      <w:r>
        <w:rPr>
          <w:w w:val="120"/>
        </w:rPr>
        <w:t>Cambridge,</w:t>
      </w:r>
      <w:r>
        <w:rPr>
          <w:spacing w:val="-11"/>
          <w:w w:val="120"/>
        </w:rPr>
        <w:t> </w:t>
      </w:r>
      <w:r>
        <w:rPr>
          <w:w w:val="120"/>
        </w:rPr>
        <w:t>MA</w:t>
      </w:r>
      <w:r>
        <w:rPr>
          <w:spacing w:val="-12"/>
          <w:w w:val="120"/>
        </w:rPr>
        <w:t> </w:t>
      </w:r>
      <w:r>
        <w:rPr>
          <w:w w:val="120"/>
        </w:rPr>
        <w:t>|</w:t>
      </w:r>
      <w:r>
        <w:rPr>
          <w:spacing w:val="-11"/>
          <w:w w:val="120"/>
        </w:rPr>
        <w:t> </w:t>
      </w:r>
      <w:r>
        <w:rPr>
          <w:w w:val="120"/>
        </w:rPr>
        <w:t>May</w:t>
      </w:r>
      <w:r>
        <w:rPr>
          <w:spacing w:val="-12"/>
          <w:w w:val="120"/>
        </w:rPr>
        <w:t> </w:t>
      </w:r>
      <w:r>
        <w:rPr>
          <w:spacing w:val="-4"/>
          <w:w w:val="120"/>
        </w:rPr>
        <w:t>2014</w:t>
      </w:r>
    </w:p>
    <w:sectPr>
      <w:type w:val="continuous"/>
      <w:pgSz w:w="11920" w:h="16860"/>
      <w:pgMar w:top="7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379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2"/>
      <w:ind w:left="677" w:right="38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.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2026-02-27T13:34:22Z</dcterms:created>
  <dcterms:modified xsi:type="dcterms:W3CDTF">2026-02-27T13:34:22Z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