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2"/>
        <w:ind w:left="22" w:right="0" w:firstLine="0"/>
        <w:jc w:val="center"/>
        <w:rPr>
          <w:rFonts w:ascii="Microsoft Sans Serif"/>
          <w:sz w:val="70"/>
        </w:rPr>
      </w:pPr>
      <w:r>
        <w:rPr>
          <w:rFonts w:ascii="Microsoft Sans Serif"/>
          <w:color w:val="24560F"/>
          <w:spacing w:val="-4"/>
          <w:sz w:val="70"/>
        </w:rPr>
        <w:t>Eric</w:t>
      </w:r>
      <w:r>
        <w:rPr>
          <w:rFonts w:ascii="Microsoft Sans Serif"/>
          <w:color w:val="24560F"/>
          <w:spacing w:val="-42"/>
          <w:sz w:val="70"/>
        </w:rPr>
        <w:t> </w:t>
      </w:r>
      <w:r>
        <w:rPr>
          <w:rFonts w:ascii="Microsoft Sans Serif"/>
          <w:color w:val="24560F"/>
          <w:spacing w:val="-2"/>
          <w:sz w:val="70"/>
        </w:rPr>
        <w:t>Nelson</w:t>
      </w:r>
    </w:p>
    <w:p>
      <w:pPr>
        <w:spacing w:before="273"/>
        <w:ind w:left="22" w:right="0" w:firstLine="0"/>
        <w:jc w:val="center"/>
        <w:rPr>
          <w:rFonts w:ascii="Microsoft Sans Serif"/>
          <w:sz w:val="26"/>
        </w:rPr>
      </w:pPr>
      <w:r>
        <w:rPr>
          <w:rFonts w:ascii="Microsoft Sans Serif"/>
          <w:color w:val="24560F"/>
          <w:sz w:val="26"/>
        </w:rPr>
        <w:t>Procurement</w:t>
      </w:r>
      <w:r>
        <w:rPr>
          <w:rFonts w:ascii="Microsoft Sans Serif"/>
          <w:color w:val="24560F"/>
          <w:spacing w:val="49"/>
          <w:sz w:val="26"/>
        </w:rPr>
        <w:t> </w:t>
      </w:r>
      <w:r>
        <w:rPr>
          <w:rFonts w:ascii="Microsoft Sans Serif"/>
          <w:color w:val="24560F"/>
          <w:spacing w:val="-2"/>
          <w:sz w:val="26"/>
        </w:rPr>
        <w:t>Consultant</w:t>
      </w:r>
    </w:p>
    <w:p>
      <w:pPr>
        <w:pStyle w:val="BodyText"/>
        <w:spacing w:before="200"/>
        <w:ind w:left="22"/>
        <w:jc w:val="center"/>
      </w:pPr>
      <w:r>
        <w:rPr/>
        <w:t>Dallas,</w:t>
      </w:r>
      <w:r>
        <w:rPr>
          <w:spacing w:val="-9"/>
        </w:rPr>
        <w:t> </w:t>
      </w:r>
      <w:r>
        <w:rPr/>
        <w:t>TX</w:t>
      </w:r>
      <w:r>
        <w:rPr>
          <w:spacing w:val="31"/>
        </w:rPr>
        <w:t> </w:t>
      </w:r>
      <w:r>
        <w:rPr>
          <w:w w:val="90"/>
        </w:rPr>
        <w:t>|</w:t>
      </w:r>
      <w:r>
        <w:rPr>
          <w:spacing w:val="30"/>
        </w:rPr>
        <w:t> </w:t>
      </w:r>
      <w:r>
        <w:rPr/>
        <w:t>(555)</w:t>
      </w:r>
      <w:r>
        <w:rPr>
          <w:spacing w:val="-4"/>
        </w:rPr>
        <w:t> </w:t>
      </w:r>
      <w:r>
        <w:rPr/>
        <w:t>543-8765</w:t>
      </w:r>
      <w:r>
        <w:rPr>
          <w:spacing w:val="32"/>
        </w:rPr>
        <w:t> </w:t>
      </w:r>
      <w:r>
        <w:rPr>
          <w:w w:val="90"/>
        </w:rPr>
        <w:t>|</w:t>
      </w:r>
      <w:r>
        <w:rPr>
          <w:spacing w:val="30"/>
        </w:rPr>
        <w:t> </w:t>
      </w:r>
      <w:hyperlink r:id="rId5">
        <w:r>
          <w:rPr/>
          <w:t>eric.nelson@email.com</w:t>
        </w:r>
      </w:hyperlink>
      <w:r>
        <w:rPr>
          <w:spacing w:val="31"/>
        </w:rPr>
        <w:t> </w:t>
      </w:r>
      <w:r>
        <w:rPr>
          <w:w w:val="90"/>
        </w:rPr>
        <w:t>|</w:t>
      </w:r>
      <w:r>
        <w:rPr>
          <w:spacing w:val="30"/>
        </w:rPr>
        <w:t> </w:t>
      </w:r>
      <w:r>
        <w:rPr>
          <w:spacing w:val="-2"/>
        </w:rPr>
        <w:t>LinkedIn</w:t>
      </w:r>
    </w:p>
    <w:p>
      <w:pPr>
        <w:pStyle w:val="BodyText"/>
        <w:spacing w:before="6"/>
        <w:rPr>
          <w:sz w:val="6"/>
        </w:rPr>
      </w:pP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63535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5.002802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/>
        <w:t>Procurement</w:t>
      </w:r>
      <w:r>
        <w:rPr>
          <w:spacing w:val="-9"/>
        </w:rPr>
        <w:t> </w:t>
      </w:r>
      <w:r>
        <w:rPr/>
        <w:t>consultant</w:t>
      </w:r>
      <w:r>
        <w:rPr>
          <w:spacing w:val="-8"/>
        </w:rPr>
        <w:t> </w:t>
      </w:r>
      <w:r>
        <w:rPr/>
        <w:t>optimizing</w:t>
      </w:r>
      <w:r>
        <w:rPr>
          <w:spacing w:val="-8"/>
        </w:rPr>
        <w:t> </w:t>
      </w:r>
      <w:r>
        <w:rPr/>
        <w:t>supply</w:t>
      </w:r>
      <w:r>
        <w:rPr>
          <w:spacing w:val="-8"/>
        </w:rPr>
        <w:t> </w:t>
      </w:r>
      <w:r>
        <w:rPr/>
        <w:t>chain</w:t>
      </w:r>
      <w:r>
        <w:rPr>
          <w:spacing w:val="-8"/>
        </w:rPr>
        <w:t> </w:t>
      </w:r>
      <w:r>
        <w:rPr/>
        <w:t>efficiency</w:t>
      </w:r>
      <w:r>
        <w:rPr>
          <w:spacing w:val="-8"/>
        </w:rPr>
        <w:t> </w:t>
      </w:r>
      <w:r>
        <w:rPr/>
        <w:t>and</w:t>
      </w:r>
      <w:r>
        <w:rPr>
          <w:spacing w:val="-8"/>
        </w:rPr>
        <w:t> </w:t>
      </w:r>
      <w:r>
        <w:rPr/>
        <w:t>cost</w:t>
      </w:r>
      <w:r>
        <w:rPr>
          <w:spacing w:val="-8"/>
        </w:rPr>
        <w:t> </w:t>
      </w:r>
      <w:r>
        <w:rPr>
          <w:spacing w:val="-2"/>
        </w:rPr>
        <w:t>savings</w:t>
      </w:r>
    </w:p>
    <w:p>
      <w:pPr>
        <w:pStyle w:val="BodyText"/>
        <w:spacing w:line="290" w:lineRule="auto" w:before="40"/>
        <w:ind w:left="892" w:right="1036"/>
      </w:pPr>
      <w:r>
        <w:rPr/>
        <w:t>Experienced procurement consultant with seven years of expertise in vendor management, contract negotiations, and procurement process</w:t>
      </w:r>
      <w:r>
        <w:rPr>
          <w:spacing w:val="-6"/>
        </w:rPr>
        <w:t> </w:t>
      </w:r>
      <w:r>
        <w:rPr/>
        <w:t>optimization.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1"/>
      </w:pPr>
    </w:p>
    <w:p>
      <w:pPr>
        <w:pStyle w:val="BodyText"/>
        <w:ind w:left="70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-437691</wp:posOffset>
                </wp:positionV>
                <wp:extent cx="7568565" cy="32385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323850"/>
                          <a:chExt cx="7568565" cy="32385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23850">
                                <a:moveTo>
                                  <a:pt x="7568183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323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4560F"/>
                                  <w:spacing w:val="-2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rFonts w:ascii="Arial"/>
                                  <w:b/>
                                  <w:color w:val="24560F"/>
                                  <w:spacing w:val="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24560F"/>
                                  <w:spacing w:val="-2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4.463894pt;width:595.950pt;height:25.5pt;mso-position-horizontal-relative:page;mso-position-vertical-relative:paragraph;z-index:15729152" id="docshapegroup2" coordorigin="0,-689" coordsize="11919,510">
                <v:rect style="position:absolute;left:0;top:-690;width:11919;height:510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690;width:11919;height:510" type="#_x0000_t202" id="docshape4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color w:val="24560F"/>
                            <w:spacing w:val="-2"/>
                            <w:sz w:val="24"/>
                          </w:rPr>
                          <w:t>Professional</w:t>
                        </w:r>
                        <w:r>
                          <w:rPr>
                            <w:rFonts w:ascii="Arial"/>
                            <w:b/>
                            <w:color w:val="24560F"/>
                            <w:spacing w:val="5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24560F"/>
                            <w:spacing w:val="-2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PROCUREMENT</w:t>
      </w:r>
      <w:r>
        <w:rPr>
          <w:spacing w:val="-2"/>
          <w:w w:val="105"/>
        </w:rPr>
        <w:t> </w:t>
      </w:r>
      <w:r>
        <w:rPr>
          <w:w w:val="105"/>
        </w:rPr>
        <w:t>CONSULTANT</w:t>
      </w:r>
      <w:r>
        <w:rPr>
          <w:spacing w:val="45"/>
          <w:w w:val="105"/>
        </w:rPr>
        <w:t> </w:t>
      </w:r>
      <w:r>
        <w:rPr>
          <w:w w:val="85"/>
        </w:rPr>
        <w:t>|</w:t>
      </w:r>
      <w:r>
        <w:rPr>
          <w:spacing w:val="46"/>
          <w:w w:val="105"/>
        </w:rPr>
        <w:t> </w:t>
      </w:r>
      <w:r>
        <w:rPr>
          <w:w w:val="105"/>
        </w:rPr>
        <w:t>SUPPLYCHAIN</w:t>
      </w:r>
      <w:r>
        <w:rPr>
          <w:spacing w:val="3"/>
          <w:w w:val="105"/>
        </w:rPr>
        <w:t> </w:t>
      </w:r>
      <w:r>
        <w:rPr>
          <w:w w:val="105"/>
        </w:rPr>
        <w:t>SOLUTIONS</w:t>
      </w:r>
      <w:r>
        <w:rPr>
          <w:spacing w:val="4"/>
          <w:w w:val="105"/>
        </w:rPr>
        <w:t> </w:t>
      </w:r>
      <w:r>
        <w:rPr>
          <w:w w:val="85"/>
        </w:rPr>
        <w:t>|</w:t>
      </w:r>
      <w:r>
        <w:rPr>
          <w:spacing w:val="3"/>
          <w:w w:val="105"/>
        </w:rPr>
        <w:t> </w:t>
      </w:r>
      <w:r>
        <w:rPr>
          <w:w w:val="105"/>
        </w:rPr>
        <w:t>DALLAS,</w:t>
      </w:r>
      <w:r>
        <w:rPr>
          <w:spacing w:val="-1"/>
          <w:w w:val="105"/>
        </w:rPr>
        <w:t> </w:t>
      </w:r>
      <w:r>
        <w:rPr>
          <w:w w:val="105"/>
        </w:rPr>
        <w:t>TX</w:t>
      </w:r>
      <w:r>
        <w:rPr>
          <w:spacing w:val="47"/>
          <w:w w:val="105"/>
        </w:rPr>
        <w:t> </w:t>
      </w:r>
      <w:r>
        <w:rPr>
          <w:w w:val="85"/>
        </w:rPr>
        <w:t>|</w:t>
      </w:r>
      <w:r>
        <w:rPr>
          <w:spacing w:val="45"/>
          <w:w w:val="105"/>
        </w:rPr>
        <w:t> </w:t>
      </w:r>
      <w:r>
        <w:rPr>
          <w:w w:val="105"/>
        </w:rPr>
        <w:t>JUNE</w:t>
      </w:r>
      <w:r>
        <w:rPr>
          <w:spacing w:val="4"/>
          <w:w w:val="105"/>
        </w:rPr>
        <w:t> </w:t>
      </w:r>
      <w:r>
        <w:rPr>
          <w:w w:val="105"/>
        </w:rPr>
        <w:t>2020</w:t>
      </w:r>
      <w:r>
        <w:rPr>
          <w:spacing w:val="-21"/>
          <w:w w:val="155"/>
        </w:rPr>
        <w:t> </w:t>
      </w:r>
      <w:r>
        <w:rPr>
          <w:w w:val="155"/>
        </w:rPr>
        <w:t>–</w:t>
      </w:r>
      <w:r>
        <w:rPr>
          <w:spacing w:val="-21"/>
          <w:w w:val="15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8"/>
      </w:pP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spacing w:val="-2"/>
          <w:w w:val="105"/>
          <w:sz w:val="16"/>
        </w:rPr>
        <w:t>Led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procurement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strategy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revisions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that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reduced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supply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chain</w:t>
      </w:r>
      <w:r>
        <w:rPr>
          <w:spacing w:val="-4"/>
          <w:w w:val="105"/>
          <w:sz w:val="16"/>
        </w:rPr>
        <w:t> </w:t>
      </w:r>
      <w:r>
        <w:rPr>
          <w:spacing w:val="-2"/>
          <w:w w:val="105"/>
          <w:sz w:val="16"/>
        </w:rPr>
        <w:t>costs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by</w:t>
      </w:r>
      <w:r>
        <w:rPr>
          <w:spacing w:val="-5"/>
          <w:w w:val="105"/>
          <w:sz w:val="16"/>
        </w:rPr>
        <w:t> 20%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15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w:t>Negotiate</w:t>
      </w:r>
      <w:r>
        <w:rPr>
          <w:spacing w:val="4"/>
          <w:sz w:val="16"/>
        </w:rPr>
        <w:t> </w:t>
      </w:r>
      <w:r>
        <w:rPr>
          <w:sz w:val="16"/>
        </w:rPr>
        <w:t>vendor</w:t>
      </w:r>
      <w:r>
        <w:rPr>
          <w:spacing w:val="5"/>
          <w:sz w:val="16"/>
        </w:rPr>
        <w:t> </w:t>
      </w:r>
      <w:r>
        <w:rPr>
          <w:sz w:val="16"/>
        </w:rPr>
        <w:t>contracts,</w:t>
      </w:r>
      <w:r>
        <w:rPr>
          <w:spacing w:val="5"/>
          <w:sz w:val="16"/>
        </w:rPr>
        <w:t> </w:t>
      </w:r>
      <w:r>
        <w:rPr>
          <w:sz w:val="16"/>
        </w:rPr>
        <w:t>securing</w:t>
      </w:r>
      <w:r>
        <w:rPr>
          <w:spacing w:val="5"/>
          <w:sz w:val="16"/>
        </w:rPr>
        <w:t> </w:t>
      </w:r>
      <w:r>
        <w:rPr>
          <w:sz w:val="16"/>
        </w:rPr>
        <w:t>long-term</w:t>
      </w:r>
      <w:r>
        <w:rPr>
          <w:spacing w:val="5"/>
          <w:sz w:val="16"/>
        </w:rPr>
        <w:t> </w:t>
      </w:r>
      <w:r>
        <w:rPr>
          <w:sz w:val="16"/>
        </w:rPr>
        <w:t>agreements</w:t>
      </w:r>
      <w:r>
        <w:rPr>
          <w:spacing w:val="5"/>
          <w:sz w:val="16"/>
        </w:rPr>
        <w:t> </w:t>
      </w:r>
      <w:r>
        <w:rPr>
          <w:sz w:val="16"/>
        </w:rPr>
        <w:t>with</w:t>
      </w:r>
      <w:r>
        <w:rPr>
          <w:spacing w:val="5"/>
          <w:sz w:val="16"/>
        </w:rPr>
        <w:t> </w:t>
      </w:r>
      <w:r>
        <w:rPr>
          <w:sz w:val="16"/>
        </w:rPr>
        <w:t>improved</w:t>
      </w:r>
      <w:r>
        <w:rPr>
          <w:spacing w:val="5"/>
          <w:sz w:val="16"/>
        </w:rPr>
        <w:t> </w:t>
      </w:r>
      <w:r>
        <w:rPr>
          <w:sz w:val="16"/>
        </w:rPr>
        <w:t>pricing</w:t>
      </w:r>
      <w:r>
        <w:rPr>
          <w:spacing w:val="5"/>
          <w:sz w:val="16"/>
        </w:rPr>
        <w:t> </w:t>
      </w:r>
      <w:r>
        <w:rPr>
          <w:spacing w:val="-2"/>
          <w:sz w:val="16"/>
        </w:rPr>
        <w:t>terms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w:t>Implemented procurement</w:t>
      </w:r>
      <w:r>
        <w:rPr>
          <w:spacing w:val="1"/>
          <w:sz w:val="16"/>
        </w:rPr>
        <w:t> </w:t>
      </w:r>
      <w:r>
        <w:rPr>
          <w:sz w:val="16"/>
        </w:rPr>
        <w:t>automation,</w:t>
      </w:r>
      <w:r>
        <w:rPr>
          <w:spacing w:val="1"/>
          <w:sz w:val="16"/>
        </w:rPr>
        <w:t> </w:t>
      </w:r>
      <w:r>
        <w:rPr>
          <w:sz w:val="16"/>
        </w:rPr>
        <w:t>cutting</w:t>
      </w:r>
      <w:r>
        <w:rPr>
          <w:spacing w:val="1"/>
          <w:sz w:val="16"/>
        </w:rPr>
        <w:t> </w:t>
      </w:r>
      <w:r>
        <w:rPr>
          <w:sz w:val="16"/>
        </w:rPr>
        <w:t>administrative</w:t>
      </w:r>
      <w:r>
        <w:rPr>
          <w:spacing w:val="1"/>
          <w:sz w:val="16"/>
        </w:rPr>
        <w:t> </w:t>
      </w:r>
      <w:r>
        <w:rPr>
          <w:sz w:val="16"/>
        </w:rPr>
        <w:t>workload</w:t>
      </w:r>
      <w:r>
        <w:rPr>
          <w:spacing w:val="1"/>
          <w:sz w:val="16"/>
        </w:rPr>
        <w:t> </w:t>
      </w:r>
      <w:r>
        <w:rPr>
          <w:sz w:val="16"/>
        </w:rPr>
        <w:t>by</w:t>
      </w:r>
      <w:r>
        <w:rPr>
          <w:spacing w:val="1"/>
          <w:sz w:val="16"/>
        </w:rPr>
        <w:t> </w:t>
      </w:r>
      <w:r>
        <w:rPr>
          <w:spacing w:val="-5"/>
          <w:sz w:val="16"/>
        </w:rPr>
        <w:t>30%</w:t>
      </w:r>
    </w:p>
    <w:p>
      <w:pPr>
        <w:pStyle w:val="BodyText"/>
        <w:spacing w:before="184"/>
        <w:ind w:left="706"/>
      </w:pPr>
      <w:r>
        <w:rPr>
          <w:w w:val="105"/>
        </w:rPr>
        <w:t>SUPPLY CHAIN ANALYST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LOGISTICSPRO CONSULTING </w:t>
      </w:r>
      <w:r>
        <w:rPr>
          <w:w w:val="85"/>
        </w:rPr>
        <w:t>|</w:t>
      </w:r>
      <w:r>
        <w:rPr>
          <w:w w:val="105"/>
        </w:rPr>
        <w:t> HOUSTON,</w:t>
      </w:r>
      <w:r>
        <w:rPr>
          <w:spacing w:val="-5"/>
          <w:w w:val="105"/>
        </w:rPr>
        <w:t> </w:t>
      </w:r>
      <w:r>
        <w:rPr>
          <w:w w:val="105"/>
        </w:rPr>
        <w:t>TX</w:t>
      </w:r>
      <w:r>
        <w:rPr>
          <w:spacing w:val="39"/>
          <w:w w:val="105"/>
        </w:rPr>
        <w:t> </w:t>
      </w:r>
      <w:r>
        <w:rPr>
          <w:w w:val="85"/>
        </w:rPr>
        <w:t>|</w:t>
      </w:r>
      <w:r>
        <w:rPr>
          <w:spacing w:val="39"/>
          <w:w w:val="105"/>
        </w:rPr>
        <w:t> </w:t>
      </w:r>
      <w:r>
        <w:rPr>
          <w:w w:val="105"/>
        </w:rPr>
        <w:t>JULY 2015</w:t>
      </w:r>
      <w:r>
        <w:rPr>
          <w:spacing w:val="-24"/>
          <w:w w:val="155"/>
        </w:rPr>
        <w:t> </w:t>
      </w:r>
      <w:r>
        <w:rPr>
          <w:w w:val="155"/>
        </w:rPr>
        <w:t>–</w:t>
      </w:r>
      <w:r>
        <w:rPr>
          <w:spacing w:val="-24"/>
          <w:w w:val="155"/>
        </w:rPr>
        <w:t> </w:t>
      </w:r>
      <w:r>
        <w:rPr>
          <w:w w:val="105"/>
        </w:rPr>
        <w:t>MAY </w:t>
      </w:r>
      <w:r>
        <w:rPr>
          <w:spacing w:val="-4"/>
          <w:w w:val="105"/>
        </w:rPr>
        <w:t>2020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43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w:t>Managed</w:t>
      </w:r>
      <w:r>
        <w:rPr>
          <w:spacing w:val="7"/>
          <w:sz w:val="16"/>
        </w:rPr>
        <w:t> </w:t>
      </w:r>
      <w:r>
        <w:rPr>
          <w:sz w:val="16"/>
        </w:rPr>
        <w:t>procurement</w:t>
      </w:r>
      <w:r>
        <w:rPr>
          <w:spacing w:val="8"/>
          <w:sz w:val="16"/>
        </w:rPr>
        <w:t> </w:t>
      </w:r>
      <w:r>
        <w:rPr>
          <w:sz w:val="16"/>
        </w:rPr>
        <w:t>planning</w:t>
      </w:r>
      <w:r>
        <w:rPr>
          <w:spacing w:val="8"/>
          <w:sz w:val="16"/>
        </w:rPr>
        <w:t> </w:t>
      </w:r>
      <w:r>
        <w:rPr>
          <w:sz w:val="16"/>
        </w:rPr>
        <w:t>for</w:t>
      </w:r>
      <w:r>
        <w:rPr>
          <w:spacing w:val="8"/>
          <w:sz w:val="16"/>
        </w:rPr>
        <w:t> </w:t>
      </w:r>
      <w:r>
        <w:rPr>
          <w:sz w:val="16"/>
        </w:rPr>
        <w:t>multimillion-dollar</w:t>
      </w:r>
      <w:r>
        <w:rPr>
          <w:spacing w:val="8"/>
          <w:sz w:val="16"/>
        </w:rPr>
        <w:t> </w:t>
      </w:r>
      <w:r>
        <w:rPr>
          <w:sz w:val="16"/>
        </w:rPr>
        <w:t>supply</w:t>
      </w:r>
      <w:r>
        <w:rPr>
          <w:spacing w:val="8"/>
          <w:sz w:val="16"/>
        </w:rPr>
        <w:t> </w:t>
      </w:r>
      <w:r>
        <w:rPr>
          <w:spacing w:val="-2"/>
          <w:sz w:val="16"/>
        </w:rPr>
        <w:t>contracts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23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w:t>Conducted</w:t>
      </w:r>
      <w:r>
        <w:rPr>
          <w:spacing w:val="11"/>
          <w:sz w:val="16"/>
        </w:rPr>
        <w:t> </w:t>
      </w:r>
      <w:r>
        <w:rPr>
          <w:sz w:val="16"/>
        </w:rPr>
        <w:t>supplier</w:t>
      </w:r>
      <w:r>
        <w:rPr>
          <w:spacing w:val="11"/>
          <w:sz w:val="16"/>
        </w:rPr>
        <w:t> </w:t>
      </w:r>
      <w:r>
        <w:rPr>
          <w:sz w:val="16"/>
        </w:rPr>
        <w:t>performance</w:t>
      </w:r>
      <w:r>
        <w:rPr>
          <w:spacing w:val="11"/>
          <w:sz w:val="16"/>
        </w:rPr>
        <w:t> </w:t>
      </w:r>
      <w:r>
        <w:rPr>
          <w:sz w:val="16"/>
        </w:rPr>
        <w:t>evaluations,</w:t>
      </w:r>
      <w:r>
        <w:rPr>
          <w:spacing w:val="11"/>
          <w:sz w:val="16"/>
        </w:rPr>
        <w:t> </w:t>
      </w:r>
      <w:r>
        <w:rPr>
          <w:sz w:val="16"/>
        </w:rPr>
        <w:t>enhancing</w:t>
      </w:r>
      <w:r>
        <w:rPr>
          <w:spacing w:val="12"/>
          <w:sz w:val="16"/>
        </w:rPr>
        <w:t> </w:t>
      </w:r>
      <w:r>
        <w:rPr>
          <w:sz w:val="16"/>
        </w:rPr>
        <w:t>vendor</w:t>
      </w:r>
      <w:r>
        <w:rPr>
          <w:spacing w:val="11"/>
          <w:sz w:val="16"/>
        </w:rPr>
        <w:t> </w:t>
      </w:r>
      <w:r>
        <w:rPr>
          <w:spacing w:val="-2"/>
          <w:sz w:val="16"/>
        </w:rPr>
        <w:t>accountability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330448</wp:posOffset>
                </wp:positionV>
                <wp:extent cx="7568565" cy="33337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333375"/>
                          <a:chExt cx="7568565" cy="33337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33375">
                                <a:moveTo>
                                  <a:pt x="75681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4560F"/>
                                  <w:spacing w:val="-2"/>
                                  <w:sz w:val="24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019604pt;width:595.950pt;height:26.25pt;mso-position-horizontal-relative:page;mso-position-vertical-relative:paragraph;z-index:15729664" id="docshapegroup5" coordorigin="0,520" coordsize="11919,525">
                <v:rect style="position:absolute;left:0;top:520;width:11919;height:525" id="docshape6" filled="true" fillcolor="#8b3399" stroked="false">
                  <v:fill opacity="13107f" type="solid"/>
                </v:rect>
                <v:shape style="position:absolute;left:0;top:520;width:11919;height:525" type="#_x0000_t202" id="docshape7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color w:val="24560F"/>
                            <w:spacing w:val="-2"/>
                            <w:sz w:val="24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Developed</w:t>
      </w:r>
      <w:r>
        <w:rPr>
          <w:spacing w:val="5"/>
          <w:sz w:val="16"/>
        </w:rPr>
        <w:t> </w:t>
      </w:r>
      <w:r>
        <w:rPr>
          <w:sz w:val="16"/>
        </w:rPr>
        <w:t>procurement</w:t>
      </w:r>
      <w:r>
        <w:rPr>
          <w:spacing w:val="5"/>
          <w:sz w:val="16"/>
        </w:rPr>
        <w:t> </w:t>
      </w:r>
      <w:r>
        <w:rPr>
          <w:sz w:val="16"/>
        </w:rPr>
        <w:t>dashboards,</w:t>
      </w:r>
      <w:r>
        <w:rPr>
          <w:spacing w:val="5"/>
          <w:sz w:val="16"/>
        </w:rPr>
        <w:t> </w:t>
      </w:r>
      <w:r>
        <w:rPr>
          <w:sz w:val="16"/>
        </w:rPr>
        <w:t>improving</w:t>
      </w:r>
      <w:r>
        <w:rPr>
          <w:spacing w:val="6"/>
          <w:sz w:val="16"/>
        </w:rPr>
        <w:t> </w:t>
      </w:r>
      <w:r>
        <w:rPr>
          <w:sz w:val="16"/>
        </w:rPr>
        <w:t>data</w:t>
      </w:r>
      <w:r>
        <w:rPr>
          <w:spacing w:val="5"/>
          <w:sz w:val="16"/>
        </w:rPr>
        <w:t> </w:t>
      </w:r>
      <w:r>
        <w:rPr>
          <w:sz w:val="16"/>
        </w:rPr>
        <w:t>visibility</w:t>
      </w:r>
      <w:r>
        <w:rPr>
          <w:spacing w:val="5"/>
          <w:sz w:val="16"/>
        </w:rPr>
        <w:t> </w:t>
      </w:r>
      <w:r>
        <w:rPr>
          <w:sz w:val="16"/>
        </w:rPr>
        <w:t>and</w:t>
      </w:r>
      <w:r>
        <w:rPr>
          <w:spacing w:val="6"/>
          <w:sz w:val="16"/>
        </w:rPr>
        <w:t> </w:t>
      </w:r>
      <w:r>
        <w:rPr>
          <w:sz w:val="16"/>
        </w:rPr>
        <w:t>reporting</w:t>
      </w:r>
      <w:r>
        <w:rPr>
          <w:spacing w:val="5"/>
          <w:sz w:val="16"/>
        </w:rPr>
        <w:t> </w:t>
      </w:r>
      <w:r>
        <w:rPr>
          <w:spacing w:val="-2"/>
          <w:sz w:val="16"/>
        </w:rPr>
        <w:t>accuracy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6"/>
      </w:pPr>
    </w:p>
    <w:p>
      <w:pPr>
        <w:pStyle w:val="BodyText"/>
        <w:ind w:left="706"/>
      </w:pPr>
      <w:r>
        <w:rPr/>
        <w:t>Bachelor</w:t>
      </w:r>
      <w:r>
        <w:rPr>
          <w:spacing w:val="3"/>
        </w:rPr>
        <w:t> </w:t>
      </w:r>
      <w:r>
        <w:rPr/>
        <w:t>of</w:t>
      </w:r>
      <w:r>
        <w:rPr>
          <w:spacing w:val="3"/>
        </w:rPr>
        <w:t> </w:t>
      </w:r>
      <w:r>
        <w:rPr/>
        <w:t>Science</w:t>
      </w:r>
      <w:r>
        <w:rPr>
          <w:spacing w:val="4"/>
        </w:rPr>
        <w:t> </w:t>
      </w:r>
      <w:r>
        <w:rPr/>
        <w:t>in</w:t>
      </w:r>
      <w:r>
        <w:rPr>
          <w:spacing w:val="3"/>
        </w:rPr>
        <w:t> </w:t>
      </w:r>
      <w:r>
        <w:rPr/>
        <w:t>Supply</w:t>
      </w:r>
      <w:r>
        <w:rPr>
          <w:spacing w:val="4"/>
        </w:rPr>
        <w:t> </w:t>
      </w:r>
      <w:r>
        <w:rPr/>
        <w:t>Chain</w:t>
      </w:r>
      <w:r>
        <w:rPr>
          <w:spacing w:val="3"/>
        </w:rPr>
        <w:t> </w:t>
      </w:r>
      <w:r>
        <w:rPr/>
        <w:t>Management</w:t>
      </w:r>
      <w:r>
        <w:rPr>
          <w:spacing w:val="45"/>
        </w:rPr>
        <w:t> </w:t>
      </w:r>
      <w:r>
        <w:rPr>
          <w:w w:val="90"/>
        </w:rPr>
        <w:t>|</w:t>
      </w:r>
      <w:r>
        <w:rPr>
          <w:spacing w:val="44"/>
        </w:rPr>
        <w:t> </w:t>
      </w:r>
      <w:r>
        <w:rPr/>
        <w:t>Texas</w:t>
      </w:r>
      <w:r>
        <w:rPr>
          <w:spacing w:val="3"/>
        </w:rPr>
        <w:t> </w:t>
      </w:r>
      <w:r>
        <w:rPr/>
        <w:t>A&amp;M</w:t>
      </w:r>
      <w:r>
        <w:rPr>
          <w:spacing w:val="4"/>
        </w:rPr>
        <w:t> </w:t>
      </w:r>
      <w:r>
        <w:rPr/>
        <w:t>University,</w:t>
      </w:r>
      <w:r>
        <w:rPr>
          <w:spacing w:val="3"/>
        </w:rPr>
        <w:t> </w:t>
      </w:r>
      <w:r>
        <w:rPr/>
        <w:t>College</w:t>
      </w:r>
      <w:r>
        <w:rPr>
          <w:spacing w:val="4"/>
        </w:rPr>
        <w:t> </w:t>
      </w:r>
      <w:r>
        <w:rPr/>
        <w:t>Station,</w:t>
      </w:r>
      <w:r>
        <w:rPr>
          <w:spacing w:val="-2"/>
        </w:rPr>
        <w:t> </w:t>
      </w:r>
      <w:r>
        <w:rPr/>
        <w:t>TX</w:t>
      </w:r>
      <w:r>
        <w:rPr>
          <w:spacing w:val="4"/>
        </w:rPr>
        <w:t> </w:t>
      </w:r>
      <w:r>
        <w:rPr>
          <w:w w:val="90"/>
        </w:rPr>
        <w:t>|</w:t>
      </w:r>
      <w:r>
        <w:rPr>
          <w:spacing w:val="3"/>
        </w:rPr>
        <w:t> </w:t>
      </w:r>
      <w:r>
        <w:rPr/>
        <w:t>May</w:t>
      </w:r>
      <w:r>
        <w:rPr>
          <w:spacing w:val="3"/>
        </w:rPr>
        <w:t> </w:t>
      </w:r>
      <w:r>
        <w:rPr>
          <w:spacing w:val="-4"/>
        </w:rPr>
        <w:t>2015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60" w:bottom="280" w:left="0" w:right="0"/>
        </w:sectPr>
      </w:pP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43" w:lineRule="exact" w:before="101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-316184</wp:posOffset>
                </wp:positionV>
                <wp:extent cx="7568565" cy="32385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323850"/>
                          <a:chExt cx="7568565" cy="32385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23850">
                                <a:moveTo>
                                  <a:pt x="7568183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323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4560F"/>
                                  <w:spacing w:val="-4"/>
                                  <w:sz w:val="24"/>
                                </w:rPr>
                                <w:t>Key</w:t>
                              </w:r>
                              <w:r>
                                <w:rPr>
                                  <w:rFonts w:ascii="Arial"/>
                                  <w:b/>
                                  <w:color w:val="24560F"/>
                                  <w:spacing w:val="-1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24560F"/>
                                  <w:spacing w:val="-2"/>
                                  <w:sz w:val="24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4.896444pt;width:595.950pt;height:25.5pt;mso-position-horizontal-relative:page;mso-position-vertical-relative:paragraph;z-index:15730176" id="docshapegroup8" coordorigin="0,-498" coordsize="11919,510">
                <v:rect style="position:absolute;left:0;top:-498;width:11919;height:510" id="docshape9" filled="true" fillcolor="#8b3399" stroked="false">
                  <v:fill opacity="13107f" type="solid"/>
                </v:rect>
                <v:shape style="position:absolute;left:0;top:-498;width:11919;height:510" type="#_x0000_t202" id="docshape10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color w:val="24560F"/>
                            <w:spacing w:val="-4"/>
                            <w:sz w:val="24"/>
                          </w:rPr>
                          <w:t>Key</w:t>
                        </w:r>
                        <w:r>
                          <w:rPr>
                            <w:rFonts w:ascii="Arial"/>
                            <w:b/>
                            <w:color w:val="24560F"/>
                            <w:spacing w:val="-12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24560F"/>
                            <w:spacing w:val="-2"/>
                            <w:sz w:val="24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  <w:sz w:val="16"/>
        </w:rPr>
        <w:t>Strategic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sourcing</w:t>
      </w:r>
      <w:r>
        <w:rPr>
          <w:spacing w:val="-4"/>
          <w:w w:val="105"/>
          <w:sz w:val="16"/>
        </w:rPr>
        <w:t> </w:t>
      </w:r>
      <w:r>
        <w:rPr>
          <w:spacing w:val="-2"/>
          <w:w w:val="105"/>
          <w:sz w:val="16"/>
        </w:rPr>
        <w:t>and</w:t>
      </w:r>
      <w:r>
        <w:rPr>
          <w:spacing w:val="-4"/>
          <w:w w:val="105"/>
          <w:sz w:val="16"/>
        </w:rPr>
        <w:t> </w:t>
      </w:r>
      <w:r>
        <w:rPr>
          <w:spacing w:val="-2"/>
          <w:w w:val="105"/>
          <w:sz w:val="16"/>
        </w:rPr>
        <w:t>procurement</w:t>
      </w:r>
      <w:r>
        <w:rPr>
          <w:spacing w:val="-4"/>
          <w:w w:val="105"/>
          <w:sz w:val="16"/>
        </w:rPr>
        <w:t> </w:t>
      </w:r>
      <w:r>
        <w:rPr>
          <w:spacing w:val="-2"/>
          <w:w w:val="105"/>
          <w:sz w:val="16"/>
        </w:rPr>
        <w:t>planning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w w:val="105"/>
          <w:sz w:val="16"/>
        </w:rPr>
        <w:t>Supply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chain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risk</w:t>
      </w:r>
      <w:r>
        <w:rPr>
          <w:spacing w:val="-11"/>
          <w:w w:val="105"/>
          <w:sz w:val="16"/>
        </w:rPr>
        <w:t> </w:t>
      </w:r>
      <w:r>
        <w:rPr>
          <w:spacing w:val="-2"/>
          <w:w w:val="105"/>
          <w:sz w:val="16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w:t>Procurement</w:t>
      </w:r>
      <w:r>
        <w:rPr>
          <w:spacing w:val="12"/>
          <w:sz w:val="16"/>
        </w:rPr>
        <w:t> </w:t>
      </w:r>
      <w:r>
        <w:rPr>
          <w:sz w:val="16"/>
        </w:rPr>
        <w:t>analytics</w:t>
      </w:r>
      <w:r>
        <w:rPr>
          <w:spacing w:val="12"/>
          <w:sz w:val="16"/>
        </w:rPr>
        <w:t> </w:t>
      </w:r>
      <w:r>
        <w:rPr>
          <w:sz w:val="16"/>
        </w:rPr>
        <w:t>and</w:t>
      </w:r>
      <w:r>
        <w:rPr>
          <w:spacing w:val="12"/>
          <w:sz w:val="16"/>
        </w:rPr>
        <w:t> </w:t>
      </w:r>
      <w:r>
        <w:rPr>
          <w:spacing w:val="-2"/>
          <w:sz w:val="16"/>
        </w:rPr>
        <w:t>reporting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43" w:lineRule="exact" w:before="101" w:after="0"/>
        <w:ind w:left="1002" w:right="0" w:hanging="296"/>
        <w:jc w:val="left"/>
        <w:rPr>
          <w:sz w:val="16"/>
        </w:rPr>
      </w:pPr>
      <w:r>
        <w:rPr/>
        <w:br w:type="column"/>
      </w:r>
      <w:r>
        <w:rPr>
          <w:sz w:val="16"/>
        </w:rPr>
        <w:t>Vendor</w:t>
      </w:r>
      <w:r>
        <w:rPr>
          <w:spacing w:val="3"/>
          <w:sz w:val="16"/>
        </w:rPr>
        <w:t> </w:t>
      </w:r>
      <w:r>
        <w:rPr>
          <w:sz w:val="16"/>
        </w:rPr>
        <w:t>contract</w:t>
      </w:r>
      <w:r>
        <w:rPr>
          <w:spacing w:val="3"/>
          <w:sz w:val="16"/>
        </w:rPr>
        <w:t> </w:t>
      </w:r>
      <w:r>
        <w:rPr>
          <w:spacing w:val="-2"/>
          <w:sz w:val="16"/>
        </w:rPr>
        <w:t>negotiation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43" w:lineRule="exact" w:before="0" w:after="0"/>
        <w:ind w:left="1002" w:right="0" w:hanging="296"/>
        <w:jc w:val="left"/>
        <w:rPr>
          <w:sz w:val="16"/>
        </w:rPr>
      </w:pPr>
      <w:r>
        <w:rPr>
          <w:spacing w:val="-2"/>
          <w:w w:val="105"/>
          <w:sz w:val="16"/>
        </w:rPr>
        <w:t>Cost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reduction</w:t>
      </w:r>
      <w:r>
        <w:rPr>
          <w:spacing w:val="-4"/>
          <w:w w:val="105"/>
          <w:sz w:val="16"/>
        </w:rPr>
        <w:t> </w:t>
      </w:r>
      <w:r>
        <w:rPr>
          <w:spacing w:val="-2"/>
          <w:w w:val="105"/>
          <w:sz w:val="16"/>
        </w:rPr>
        <w:t>strategies</w:t>
      </w:r>
    </w:p>
    <w:sectPr>
      <w:type w:val="continuous"/>
      <w:pgSz w:w="11920" w:h="16860"/>
      <w:pgMar w:top="760" w:bottom="280" w:left="0" w:right="0"/>
      <w:cols w:num="2" w:equalWidth="0">
        <w:col w:w="4382" w:space="1058"/>
        <w:col w:w="648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3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7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1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35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69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02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36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70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6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7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79"/>
      <w:ind w:left="892"/>
      <w:outlineLvl w:val="1"/>
    </w:pPr>
    <w:rPr>
      <w:rFonts w:ascii="Trebuchet MS" w:hAnsi="Trebuchet MS" w:eastAsia="Trebuchet MS" w:cs="Trebuchet MS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169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ric.nelson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2026-02-27T13:36:29Z</dcterms:created>
  <dcterms:modified xsi:type="dcterms:W3CDTF">2026-02-27T13:36:29Z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