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5"/>
        <w:rPr>
          <w:rFonts w:ascii="Times New Roman"/>
          <w:sz w:val="70"/>
        </w:rPr>
      </w:pPr>
    </w:p>
    <w:p>
      <w:pPr>
        <w:pStyle w:val="Heading1"/>
      </w:pPr>
      <w:r>
        <w:rPr>
          <w:color w:val="25CDE3"/>
          <w:spacing w:val="11"/>
          <w:w w:val="105"/>
        </w:rPr>
        <w:t>Daniel</w:t>
      </w:r>
      <w:r>
        <w:rPr>
          <w:color w:val="25CDE3"/>
          <w:spacing w:val="-46"/>
          <w:w w:val="105"/>
        </w:rPr>
        <w:t> </w:t>
      </w:r>
      <w:r>
        <w:rPr>
          <w:color w:val="25CDE3"/>
          <w:spacing w:val="7"/>
          <w:w w:val="105"/>
        </w:rPr>
        <w:t>Brooks</w:t>
      </w:r>
    </w:p>
    <w:p>
      <w:pPr>
        <w:spacing w:before="94"/>
        <w:ind w:left="4167" w:right="686" w:firstLine="0"/>
        <w:jc w:val="center"/>
        <w:rPr>
          <w:rFonts w:ascii="Trebuchet MS"/>
          <w:sz w:val="15"/>
        </w:rPr>
      </w:pPr>
      <w:r>
        <w:rPr>
          <w:rFonts w:ascii="Trebuchet MS"/>
          <w:color w:val="25CDE3"/>
          <w:spacing w:val="2"/>
          <w:w w:val="105"/>
          <w:sz w:val="15"/>
        </w:rPr>
        <w:t>Business</w:t>
      </w:r>
      <w:r>
        <w:rPr>
          <w:rFonts w:ascii="Trebuchet MS"/>
          <w:color w:val="25CDE3"/>
          <w:spacing w:val="20"/>
          <w:w w:val="105"/>
          <w:sz w:val="15"/>
        </w:rPr>
        <w:t> </w:t>
      </w:r>
      <w:r>
        <w:rPr>
          <w:rFonts w:ascii="Trebuchet MS"/>
          <w:color w:val="25CDE3"/>
          <w:spacing w:val="-2"/>
          <w:w w:val="105"/>
          <w:sz w:val="15"/>
        </w:rPr>
        <w:t>Attorney</w:t>
      </w:r>
    </w:p>
    <w:p>
      <w:pPr>
        <w:pStyle w:val="BodyText"/>
        <w:spacing w:before="45"/>
        <w:rPr>
          <w:rFonts w:ascii="Trebuchet MS"/>
          <w:sz w:val="15"/>
        </w:rPr>
      </w:pPr>
    </w:p>
    <w:p>
      <w:pPr>
        <w:spacing w:line="259" w:lineRule="auto" w:before="0"/>
        <w:ind w:left="4167" w:right="684" w:firstLine="0"/>
        <w:jc w:val="center"/>
        <w:rPr>
          <w:b/>
          <w:sz w:val="16"/>
        </w:rPr>
      </w:pPr>
      <w:r>
        <w:rPr>
          <w:b/>
          <w:color w:val="25CDE3"/>
          <w:w w:val="130"/>
          <w:sz w:val="16"/>
        </w:rPr>
        <w:t>Corporate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business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attorney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with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expertise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in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contract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law</w:t>
      </w:r>
      <w:r>
        <w:rPr>
          <w:b/>
          <w:color w:val="25CDE3"/>
          <w:spacing w:val="34"/>
          <w:w w:val="130"/>
          <w:sz w:val="16"/>
        </w:rPr>
        <w:t> </w:t>
      </w:r>
      <w:r>
        <w:rPr>
          <w:b/>
          <w:color w:val="25CDE3"/>
          <w:w w:val="130"/>
          <w:sz w:val="16"/>
        </w:rPr>
        <w:t>and </w:t>
      </w:r>
      <w:r>
        <w:rPr>
          <w:b/>
          <w:color w:val="25CDE3"/>
          <w:spacing w:val="-2"/>
          <w:w w:val="130"/>
          <w:sz w:val="16"/>
        </w:rPr>
        <w:t>compliance</w:t>
      </w:r>
    </w:p>
    <w:p>
      <w:pPr>
        <w:spacing w:line="259" w:lineRule="auto" w:before="103"/>
        <w:ind w:left="4559" w:right="1076" w:hanging="1"/>
        <w:jc w:val="center"/>
        <w:rPr>
          <w:sz w:val="16"/>
        </w:rPr>
      </w:pPr>
      <w:r>
        <w:rPr>
          <w:color w:val="25CDE3"/>
          <w:w w:val="125"/>
          <w:sz w:val="16"/>
        </w:rPr>
        <w:t>Strategic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business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attorney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with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eight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years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of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experience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advising corporations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on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mergers,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acquisitions,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contract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negotiations,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and regulatory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compliance.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Adept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at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drafting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business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agreements</w:t>
      </w:r>
      <w:r>
        <w:rPr>
          <w:color w:val="25CDE3"/>
          <w:spacing w:val="40"/>
          <w:w w:val="125"/>
          <w:sz w:val="16"/>
        </w:rPr>
        <w:t> </w:t>
      </w:r>
      <w:r>
        <w:rPr>
          <w:color w:val="25CDE3"/>
          <w:w w:val="125"/>
          <w:sz w:val="16"/>
        </w:rPr>
        <w:t>and mitigating legal risks.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51530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840" id="docshapegroup1" coordorigin="0,0" coordsize="4050,16860">
                <v:shape style="position:absolute;left:0;top:0;width:4050;height:16860" id="docshape2" coordorigin="0,0" coordsize="4050,16860" path="m4050,7695l0,7695,0,12750,0,16860,4050,16860,4050,12750,4050,7695xm4050,4575l0,4575,0,7320,4050,7320,4050,4575xm4050,0l0,0,0,4110,0,4200,4050,4200,4050,4110,4050,0xe" filled="true" fillcolor="#25cde3" stroked="false">
                  <v:path arrowok="t"/>
                  <v:fill type="solid"/>
                </v:shape>
                <v:shape style="position:absolute;left:0;top:4200;width:4050;height:3495" id="docshape3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4905;width:255;height:261" type="#_x0000_t75" id="docshape6" stroked="false">
                  <v:imagedata r:id="rId6" o:title=""/>
                </v:shape>
                <v:shape style="position:absolute;left:842;top:5415;width:226;height:255" type="#_x0000_t75" id="docshape7" stroked="false">
                  <v:imagedata r:id="rId7" o:title=""/>
                </v:shape>
                <v:shape style="position:absolute;left:825;top:5927;width:256;height:226" type="#_x0000_t75" id="docshape8" stroked="false">
                  <v:imagedata r:id="rId8" o:title=""/>
                </v:shape>
                <v:shape style="position:absolute;left:825;top:6465;width:255;height:261" type="#_x0000_t75" id="docshape9" stroked="false">
                  <v:imagedata r:id="rId9" o:title=""/>
                </v:shape>
                <v:shape style="position:absolute;left:824;top:8115;width:75;height:1380" id="docshape10" coordorigin="825,8115" coordsize="75,1380" path="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792l899,8787,895,8778,893,8774,886,8767,882,8765,873,8761,868,8760,857,8760,852,8761,843,8765,839,8767,832,8774,830,8778,826,8787,825,8792,825,8798,825,8803,826,8808,830,8817,832,8821,839,8828,843,8830,852,8834,857,8835,868,8835,873,8834,882,8830,886,8828,893,8821,895,8817,899,8808,900,8803,900,8792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CDE3"/>
          <w:w w:val="110"/>
        </w:rPr>
        <w:t>PERSONAL</w:t>
      </w:r>
      <w:r>
        <w:rPr>
          <w:color w:val="25CDE3"/>
          <w:spacing w:val="28"/>
          <w:w w:val="110"/>
        </w:rPr>
        <w:t> </w:t>
      </w:r>
      <w:r>
        <w:rPr>
          <w:color w:val="25CDE3"/>
          <w:spacing w:val="-2"/>
          <w:w w:val="110"/>
        </w:rPr>
        <w:t>INFORMATION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1"/>
        <w:rPr>
          <w:rFonts w:ascii="Trebuchet MS"/>
          <w:b/>
        </w:rPr>
      </w:pPr>
    </w:p>
    <w:p>
      <w:pPr>
        <w:pStyle w:val="BodyText"/>
        <w:ind w:left="820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70"/>
      </w:pPr>
    </w:p>
    <w:p>
      <w:pPr>
        <w:pStyle w:val="BodyText"/>
        <w:spacing w:line="590" w:lineRule="auto"/>
        <w:ind w:left="839" w:hanging="19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line="189" w:lineRule="exact"/>
        <w:ind w:left="820"/>
      </w:pPr>
      <w:r>
        <w:rPr>
          <w:color w:val="FFFFFF"/>
          <w:w w:val="125"/>
        </w:rPr>
        <w:t>City,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ST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98765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Heading2"/>
        <w:spacing w:before="0"/>
      </w:pPr>
      <w:r>
        <w:rPr>
          <w:color w:val="25CDE3"/>
          <w:w w:val="110"/>
        </w:rPr>
        <w:t>KEY</w:t>
      </w:r>
      <w:r>
        <w:rPr>
          <w:color w:val="25CDE3"/>
          <w:spacing w:val="-8"/>
          <w:w w:val="110"/>
        </w:rPr>
        <w:t> </w:t>
      </w:r>
      <w:r>
        <w:rPr>
          <w:color w:val="25CDE3"/>
          <w:spacing w:val="-2"/>
          <w:w w:val="110"/>
        </w:rPr>
        <w:t>SKILLS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line="355" w:lineRule="auto" w:before="1"/>
        <w:ind w:left="690"/>
      </w:pPr>
      <w:r>
        <w:rPr>
          <w:color w:val="FFFFFF"/>
          <w:w w:val="130"/>
        </w:rPr>
        <w:t>Business contract law Mergers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acquisitions Regulatory compliance Corporate governance Risk assessment</w:t>
      </w:r>
    </w:p>
    <w:p>
      <w:pPr>
        <w:pStyle w:val="BodyText"/>
        <w:spacing w:before="184"/>
      </w:pPr>
      <w:r>
        <w:rPr/>
        <w:br w:type="column"/>
      </w:r>
      <w:r>
        <w:rPr/>
      </w: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-348079</wp:posOffset>
                </wp:positionV>
                <wp:extent cx="4920615" cy="2286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182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"/>
                                <w:w w:val="11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7"/>
                                <w:w w:val="11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27.407829pt;width:387.45pt;height:18pt;mso-position-horizontal-relative:page;mso-position-vertical-relative:paragraph;z-index:15729664" type="#_x0000_t202" id="docshape11" filled="true" fillcolor="#25cde3" stroked="false">
                <v:textbox inset="0,0,0,0">
                  <w:txbxContent>
                    <w:p>
                      <w:pPr>
                        <w:spacing w:before="86"/>
                        <w:ind w:left="182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2"/>
                          <w:w w:val="110"/>
                          <w:sz w:val="18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7"/>
                          <w:w w:val="110"/>
                          <w:sz w:val="1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Senior</w:t>
      </w:r>
      <w:r>
        <w:rPr>
          <w:spacing w:val="44"/>
          <w:w w:val="125"/>
        </w:rPr>
        <w:t> </w:t>
      </w:r>
      <w:r>
        <w:rPr>
          <w:w w:val="125"/>
        </w:rPr>
        <w:t>Business</w:t>
      </w:r>
      <w:r>
        <w:rPr>
          <w:spacing w:val="45"/>
          <w:w w:val="125"/>
        </w:rPr>
        <w:t> </w:t>
      </w:r>
      <w:r>
        <w:rPr>
          <w:spacing w:val="-2"/>
          <w:w w:val="125"/>
        </w:rPr>
        <w:t>Attorney</w:t>
      </w:r>
    </w:p>
    <w:p>
      <w:pPr>
        <w:spacing w:before="140"/>
        <w:ind w:left="597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Global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Corporate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Law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LLP</w:t>
      </w:r>
      <w:r>
        <w:rPr>
          <w:i/>
          <w:spacing w:val="22"/>
          <w:w w:val="125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San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Francisco,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CA</w:t>
      </w:r>
      <w:r>
        <w:rPr>
          <w:i/>
          <w:spacing w:val="22"/>
          <w:w w:val="125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October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2016</w:t>
      </w:r>
      <w:r>
        <w:rPr>
          <w:i/>
          <w:spacing w:val="22"/>
          <w:w w:val="125"/>
          <w:sz w:val="18"/>
        </w:rPr>
        <w:t> </w:t>
      </w:r>
      <w:r>
        <w:rPr>
          <w:i/>
          <w:w w:val="125"/>
          <w:sz w:val="18"/>
        </w:rPr>
        <w:t>–</w:t>
      </w:r>
      <w:r>
        <w:rPr>
          <w:i/>
          <w:spacing w:val="22"/>
          <w:w w:val="125"/>
          <w:sz w:val="18"/>
        </w:rPr>
        <w:t> </w:t>
      </w:r>
      <w:r>
        <w:rPr>
          <w:i/>
          <w:spacing w:val="-2"/>
          <w:w w:val="125"/>
          <w:sz w:val="18"/>
        </w:rPr>
        <w:t>present</w:t>
      </w:r>
    </w:p>
    <w:p>
      <w:pPr>
        <w:pStyle w:val="BodyText"/>
        <w:tabs>
          <w:tab w:pos="895" w:val="left" w:leader="none"/>
        </w:tabs>
        <w:spacing w:line="244" w:lineRule="auto" w:before="111"/>
        <w:ind w:left="895" w:right="1066" w:hanging="30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Led negotiations for corporate mergers totaling $1 billion in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transactions</w:t>
      </w:r>
    </w:p>
    <w:p>
      <w:pPr>
        <w:pStyle w:val="BodyText"/>
        <w:tabs>
          <w:tab w:pos="895" w:val="left" w:leader="none"/>
        </w:tabs>
        <w:spacing w:line="244" w:lineRule="auto" w:before="106"/>
        <w:ind w:left="895" w:right="790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 and reviewed contracts, reducing legal risk exposure by</w:t>
      </w:r>
      <w:r>
        <w:rPr>
          <w:spacing w:val="80"/>
          <w:w w:val="125"/>
        </w:rPr>
        <w:t> </w:t>
      </w:r>
      <w:r>
        <w:rPr>
          <w:spacing w:val="-4"/>
          <w:w w:val="125"/>
        </w:rPr>
        <w:t>30%</w:t>
      </w:r>
    </w:p>
    <w:p>
      <w:pPr>
        <w:pStyle w:val="BodyText"/>
        <w:tabs>
          <w:tab w:pos="895" w:val="left" w:leader="none"/>
        </w:tabs>
        <w:spacing w:line="261" w:lineRule="auto" w:before="107"/>
        <w:ind w:left="895" w:right="63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</w:t>
      </w:r>
      <w:r>
        <w:rPr>
          <w:spacing w:val="40"/>
          <w:w w:val="125"/>
        </w:rPr>
        <w:t> </w:t>
      </w:r>
      <w:r>
        <w:rPr>
          <w:w w:val="125"/>
        </w:rPr>
        <w:t>counsel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executive</w:t>
      </w:r>
      <w:r>
        <w:rPr>
          <w:spacing w:val="40"/>
          <w:w w:val="125"/>
        </w:rPr>
        <w:t> </w:t>
      </w:r>
      <w:r>
        <w:rPr>
          <w:w w:val="125"/>
        </w:rPr>
        <w:t>leadership</w:t>
      </w:r>
      <w:r>
        <w:rPr>
          <w:spacing w:val="40"/>
          <w:w w:val="125"/>
        </w:rPr>
        <w:t> </w:t>
      </w:r>
      <w:r>
        <w:rPr>
          <w:w w:val="125"/>
        </w:rPr>
        <w:t>on</w:t>
      </w:r>
      <w:r>
        <w:rPr>
          <w:spacing w:val="40"/>
          <w:w w:val="125"/>
        </w:rPr>
        <w:t> </w:t>
      </w:r>
      <w:r>
        <w:rPr>
          <w:w w:val="125"/>
        </w:rPr>
        <w:t>business</w:t>
      </w:r>
      <w:r>
        <w:rPr>
          <w:spacing w:val="40"/>
          <w:w w:val="125"/>
        </w:rPr>
        <w:t> </w:t>
      </w:r>
      <w:r>
        <w:rPr>
          <w:w w:val="125"/>
        </w:rPr>
        <w:t>regulations and governance</w:t>
      </w:r>
    </w:p>
    <w:p>
      <w:pPr>
        <w:pStyle w:val="BodyText"/>
        <w:spacing w:before="151"/>
        <w:ind w:left="114"/>
      </w:pPr>
      <w:r>
        <w:rPr>
          <w:w w:val="125"/>
        </w:rPr>
        <w:t>Corporate</w:t>
      </w:r>
      <w:r>
        <w:rPr>
          <w:spacing w:val="20"/>
          <w:w w:val="125"/>
        </w:rPr>
        <w:t> </w:t>
      </w:r>
      <w:r>
        <w:rPr>
          <w:spacing w:val="-2"/>
          <w:w w:val="125"/>
        </w:rPr>
        <w:t>Counsel</w:t>
      </w:r>
    </w:p>
    <w:p>
      <w:pPr>
        <w:spacing w:before="155"/>
        <w:ind w:left="597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Tech</w:t>
      </w:r>
      <w:r>
        <w:rPr>
          <w:i/>
          <w:spacing w:val="40"/>
          <w:w w:val="120"/>
          <w:sz w:val="18"/>
        </w:rPr>
        <w:t> </w:t>
      </w:r>
      <w:r>
        <w:rPr>
          <w:i/>
          <w:w w:val="120"/>
          <w:sz w:val="18"/>
        </w:rPr>
        <w:t>Startup</w:t>
      </w:r>
      <w:r>
        <w:rPr>
          <w:i/>
          <w:spacing w:val="40"/>
          <w:w w:val="120"/>
          <w:sz w:val="18"/>
        </w:rPr>
        <w:t> </w:t>
      </w:r>
      <w:r>
        <w:rPr>
          <w:i/>
          <w:w w:val="120"/>
          <w:sz w:val="18"/>
        </w:rPr>
        <w:t>Inc.</w:t>
      </w:r>
      <w:r>
        <w:rPr>
          <w:i/>
          <w:spacing w:val="41"/>
          <w:w w:val="120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40"/>
          <w:w w:val="120"/>
          <w:sz w:val="18"/>
        </w:rPr>
        <w:t> </w:t>
      </w:r>
      <w:r>
        <w:rPr>
          <w:i/>
          <w:w w:val="120"/>
          <w:sz w:val="18"/>
        </w:rPr>
        <w:t>San</w:t>
      </w:r>
      <w:r>
        <w:rPr>
          <w:i/>
          <w:spacing w:val="41"/>
          <w:w w:val="120"/>
          <w:sz w:val="18"/>
        </w:rPr>
        <w:t> </w:t>
      </w:r>
      <w:r>
        <w:rPr>
          <w:i/>
          <w:w w:val="120"/>
          <w:sz w:val="18"/>
        </w:rPr>
        <w:t>Francisco,</w:t>
      </w:r>
      <w:r>
        <w:rPr>
          <w:i/>
          <w:spacing w:val="40"/>
          <w:w w:val="120"/>
          <w:sz w:val="18"/>
        </w:rPr>
        <w:t> </w:t>
      </w:r>
      <w:r>
        <w:rPr>
          <w:i/>
          <w:w w:val="120"/>
          <w:sz w:val="18"/>
        </w:rPr>
        <w:t>CA</w:t>
      </w:r>
      <w:r>
        <w:rPr>
          <w:i/>
          <w:spacing w:val="40"/>
          <w:w w:val="120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41"/>
          <w:w w:val="120"/>
          <w:sz w:val="18"/>
        </w:rPr>
        <w:t> </w:t>
      </w:r>
      <w:r>
        <w:rPr>
          <w:i/>
          <w:w w:val="120"/>
          <w:sz w:val="18"/>
        </w:rPr>
        <w:t>July</w:t>
      </w:r>
      <w:r>
        <w:rPr>
          <w:i/>
          <w:spacing w:val="40"/>
          <w:w w:val="120"/>
          <w:sz w:val="18"/>
        </w:rPr>
        <w:t> </w:t>
      </w:r>
      <w:r>
        <w:rPr>
          <w:i/>
          <w:w w:val="120"/>
          <w:sz w:val="18"/>
        </w:rPr>
        <w:t>2014</w:t>
      </w:r>
      <w:r>
        <w:rPr>
          <w:i/>
          <w:spacing w:val="41"/>
          <w:w w:val="120"/>
          <w:sz w:val="18"/>
        </w:rPr>
        <w:t> </w:t>
      </w:r>
      <w:r>
        <w:rPr>
          <w:i/>
          <w:w w:val="120"/>
          <w:sz w:val="18"/>
        </w:rPr>
        <w:t>–</w:t>
      </w:r>
      <w:r>
        <w:rPr>
          <w:i/>
          <w:spacing w:val="40"/>
          <w:w w:val="120"/>
          <w:sz w:val="18"/>
        </w:rPr>
        <w:t> </w:t>
      </w:r>
      <w:r>
        <w:rPr>
          <w:i/>
          <w:w w:val="120"/>
          <w:sz w:val="18"/>
        </w:rPr>
        <w:t>September</w:t>
      </w:r>
      <w:r>
        <w:rPr>
          <w:i/>
          <w:spacing w:val="41"/>
          <w:w w:val="120"/>
          <w:sz w:val="18"/>
        </w:rPr>
        <w:t> </w:t>
      </w:r>
      <w:r>
        <w:rPr>
          <w:i/>
          <w:spacing w:val="-4"/>
          <w:w w:val="120"/>
          <w:sz w:val="18"/>
        </w:rPr>
        <w:t>2016</w:t>
      </w:r>
    </w:p>
    <w:p>
      <w:pPr>
        <w:pStyle w:val="BodyText"/>
        <w:tabs>
          <w:tab w:pos="895" w:val="left" w:leader="none"/>
        </w:tabs>
        <w:spacing w:line="261" w:lineRule="auto" w:before="96"/>
        <w:ind w:left="895" w:right="790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Handled corporate compliance matters and risk management </w:t>
      </w:r>
      <w:r>
        <w:rPr>
          <w:spacing w:val="-2"/>
          <w:w w:val="130"/>
        </w:rPr>
        <w:t>strategies</w:t>
      </w:r>
    </w:p>
    <w:p>
      <w:pPr>
        <w:pStyle w:val="BodyText"/>
        <w:tabs>
          <w:tab w:pos="895" w:val="left" w:leader="none"/>
        </w:tabs>
        <w:spacing w:line="244" w:lineRule="auto" w:before="91"/>
        <w:ind w:left="895" w:right="1214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Advised on intellectual property and technology licensing </w:t>
      </w:r>
      <w:r>
        <w:rPr>
          <w:spacing w:val="-2"/>
          <w:w w:val="130"/>
        </w:rPr>
        <w:t>agreements</w:t>
      </w:r>
    </w:p>
    <w:p>
      <w:pPr>
        <w:pStyle w:val="BodyText"/>
        <w:spacing w:before="4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182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2" filled="true" fillcolor="#25cde3" stroked="false">
                <w10:anchorlock/>
                <v:textbox inset="0,0,0,0">
                  <w:txbxContent>
                    <w:p>
                      <w:pPr>
                        <w:spacing w:before="86"/>
                        <w:ind w:left="182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1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58"/>
        <w:ind w:left="114"/>
      </w:pPr>
      <w:r>
        <w:rPr>
          <w:w w:val="125"/>
        </w:rPr>
        <w:t>Juris</w:t>
      </w:r>
      <w:r>
        <w:rPr>
          <w:spacing w:val="35"/>
          <w:w w:val="125"/>
        </w:rPr>
        <w:t> </w:t>
      </w:r>
      <w:r>
        <w:rPr>
          <w:w w:val="125"/>
        </w:rPr>
        <w:t>Doctor</w:t>
      </w:r>
      <w:r>
        <w:rPr>
          <w:spacing w:val="36"/>
          <w:w w:val="125"/>
        </w:rPr>
        <w:t> </w:t>
      </w:r>
      <w:r>
        <w:rPr>
          <w:spacing w:val="-2"/>
          <w:w w:val="125"/>
        </w:rPr>
        <w:t>(J.D.)</w:t>
      </w:r>
    </w:p>
    <w:p>
      <w:pPr>
        <w:pStyle w:val="BodyText"/>
        <w:spacing w:before="66"/>
        <w:ind w:left="114"/>
      </w:pPr>
      <w:r>
        <w:rPr>
          <w:w w:val="115"/>
        </w:rPr>
        <w:t>Stanford</w:t>
      </w:r>
      <w:r>
        <w:rPr>
          <w:spacing w:val="44"/>
          <w:w w:val="115"/>
        </w:rPr>
        <w:t> </w:t>
      </w:r>
      <w:r>
        <w:rPr>
          <w:w w:val="115"/>
        </w:rPr>
        <w:t>Law</w:t>
      </w:r>
      <w:r>
        <w:rPr>
          <w:spacing w:val="44"/>
          <w:w w:val="115"/>
        </w:rPr>
        <w:t> </w:t>
      </w:r>
      <w:r>
        <w:rPr>
          <w:w w:val="115"/>
        </w:rPr>
        <w:t>School</w:t>
      </w:r>
      <w:r>
        <w:rPr>
          <w:spacing w:val="44"/>
          <w:w w:val="115"/>
        </w:rPr>
        <w:t> </w:t>
      </w:r>
      <w:r>
        <w:rPr/>
        <w:t>|</w:t>
      </w:r>
      <w:r>
        <w:rPr>
          <w:spacing w:val="44"/>
          <w:w w:val="115"/>
        </w:rPr>
        <w:t> </w:t>
      </w:r>
      <w:r>
        <w:rPr>
          <w:w w:val="115"/>
        </w:rPr>
        <w:t>Palo</w:t>
      </w:r>
      <w:r>
        <w:rPr>
          <w:spacing w:val="44"/>
          <w:w w:val="115"/>
        </w:rPr>
        <w:t> </w:t>
      </w:r>
      <w:r>
        <w:rPr>
          <w:w w:val="115"/>
        </w:rPr>
        <w:t>Alto,</w:t>
      </w:r>
      <w:r>
        <w:rPr>
          <w:spacing w:val="44"/>
          <w:w w:val="115"/>
        </w:rPr>
        <w:t> </w:t>
      </w:r>
      <w:r>
        <w:rPr>
          <w:w w:val="115"/>
        </w:rPr>
        <w:t>CA</w:t>
      </w:r>
      <w:r>
        <w:rPr>
          <w:spacing w:val="44"/>
          <w:w w:val="115"/>
        </w:rPr>
        <w:t> </w:t>
      </w:r>
      <w:r>
        <w:rPr/>
        <w:t>|</w:t>
      </w:r>
      <w:r>
        <w:rPr>
          <w:spacing w:val="44"/>
          <w:w w:val="115"/>
        </w:rPr>
        <w:t> </w:t>
      </w:r>
      <w:r>
        <w:rPr>
          <w:spacing w:val="-4"/>
          <w:w w:val="115"/>
        </w:rPr>
        <w:t>2014</w:t>
      </w:r>
    </w:p>
    <w:p>
      <w:pPr>
        <w:pStyle w:val="BodyText"/>
        <w:spacing w:before="185"/>
        <w:ind w:left="114"/>
      </w:pPr>
      <w:r>
        <w:rPr>
          <w:w w:val="130"/>
        </w:rPr>
        <w:t>Bachelor</w:t>
      </w:r>
      <w:r>
        <w:rPr>
          <w:spacing w:val="12"/>
          <w:w w:val="130"/>
        </w:rPr>
        <w:t> </w:t>
      </w:r>
      <w:r>
        <w:rPr>
          <w:w w:val="130"/>
        </w:rPr>
        <w:t>of</w:t>
      </w:r>
      <w:r>
        <w:rPr>
          <w:spacing w:val="12"/>
          <w:w w:val="130"/>
        </w:rPr>
        <w:t> </w:t>
      </w:r>
      <w:r>
        <w:rPr>
          <w:w w:val="130"/>
        </w:rPr>
        <w:t>Science</w:t>
      </w:r>
      <w:r>
        <w:rPr>
          <w:spacing w:val="13"/>
          <w:w w:val="130"/>
        </w:rPr>
        <w:t> </w:t>
      </w:r>
      <w:r>
        <w:rPr>
          <w:w w:val="130"/>
        </w:rPr>
        <w:t>in</w:t>
      </w:r>
      <w:r>
        <w:rPr>
          <w:spacing w:val="12"/>
          <w:w w:val="130"/>
        </w:rPr>
        <w:t> </w:t>
      </w:r>
      <w:r>
        <w:rPr>
          <w:w w:val="130"/>
        </w:rPr>
        <w:t>Business</w:t>
      </w:r>
      <w:r>
        <w:rPr>
          <w:spacing w:val="13"/>
          <w:w w:val="130"/>
        </w:rPr>
        <w:t> </w:t>
      </w:r>
      <w:r>
        <w:rPr>
          <w:spacing w:val="-5"/>
          <w:w w:val="130"/>
        </w:rPr>
        <w:t>Law</w:t>
      </w:r>
    </w:p>
    <w:p>
      <w:pPr>
        <w:pStyle w:val="BodyText"/>
        <w:spacing w:before="65"/>
        <w:ind w:left="114"/>
      </w:pPr>
      <w:r>
        <w:rPr>
          <w:w w:val="115"/>
        </w:rPr>
        <w:t>University</w:t>
      </w:r>
      <w:r>
        <w:rPr>
          <w:spacing w:val="52"/>
          <w:w w:val="115"/>
        </w:rPr>
        <w:t> </w:t>
      </w:r>
      <w:r>
        <w:rPr>
          <w:w w:val="115"/>
        </w:rPr>
        <w:t>of</w:t>
      </w:r>
      <w:r>
        <w:rPr>
          <w:spacing w:val="53"/>
          <w:w w:val="115"/>
        </w:rPr>
        <w:t> </w:t>
      </w:r>
      <w:r>
        <w:rPr>
          <w:w w:val="115"/>
        </w:rPr>
        <w:t>California,</w:t>
      </w:r>
      <w:r>
        <w:rPr>
          <w:spacing w:val="53"/>
          <w:w w:val="115"/>
        </w:rPr>
        <w:t> </w:t>
      </w:r>
      <w:r>
        <w:rPr>
          <w:w w:val="115"/>
        </w:rPr>
        <w:t>Berkeley</w:t>
      </w:r>
      <w:r>
        <w:rPr>
          <w:spacing w:val="53"/>
          <w:w w:val="115"/>
        </w:rPr>
        <w:t> </w:t>
      </w:r>
      <w:r>
        <w:rPr/>
        <w:t>|</w:t>
      </w:r>
      <w:r>
        <w:rPr>
          <w:spacing w:val="52"/>
          <w:w w:val="115"/>
        </w:rPr>
        <w:t> </w:t>
      </w:r>
      <w:r>
        <w:rPr>
          <w:w w:val="115"/>
        </w:rPr>
        <w:t>Berkeley,</w:t>
      </w:r>
      <w:r>
        <w:rPr>
          <w:spacing w:val="53"/>
          <w:w w:val="115"/>
        </w:rPr>
        <w:t> </w:t>
      </w:r>
      <w:r>
        <w:rPr>
          <w:w w:val="115"/>
        </w:rPr>
        <w:t>CA</w:t>
      </w:r>
      <w:r>
        <w:rPr>
          <w:spacing w:val="53"/>
          <w:w w:val="115"/>
        </w:rPr>
        <w:t> </w:t>
      </w:r>
      <w:r>
        <w:rPr/>
        <w:t>|</w:t>
      </w:r>
      <w:r>
        <w:rPr>
          <w:spacing w:val="53"/>
          <w:w w:val="115"/>
        </w:rPr>
        <w:t> </w:t>
      </w:r>
      <w:r>
        <w:rPr>
          <w:spacing w:val="-4"/>
          <w:w w:val="115"/>
        </w:rPr>
        <w:t>2011</w:t>
      </w:r>
    </w:p>
    <w:sectPr>
      <w:type w:val="continuous"/>
      <w:pgSz w:w="11920" w:h="16860"/>
      <w:pgMar w:top="0" w:bottom="0" w:left="425" w:right="0"/>
      <w:cols w:num="2" w:equalWidth="0">
        <w:col w:w="3154" w:space="659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67" w:right="698"/>
      <w:jc w:val="center"/>
      <w:outlineLvl w:val="1"/>
    </w:pPr>
    <w:rPr>
      <w:rFonts w:ascii="Trebuchet MS" w:hAnsi="Trebuchet MS" w:eastAsia="Trebuchet MS" w:cs="Trebuchet MS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6"/>
      <w:ind w:left="114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2026-02-12T22:35:24Z</dcterms:created>
  <dcterms:modified xsi:type="dcterms:W3CDTF">2026-02-12T22:35:24Z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