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31" w:right="0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10"/>
          <w:w w:val="95"/>
          <w:sz w:val="70"/>
        </w:rPr>
        <w:t>Chris</w:t>
      </w:r>
      <w:r>
        <w:rPr>
          <w:rFonts w:ascii="Verdana"/>
          <w:b/>
          <w:color w:val="FFFFFF"/>
          <w:spacing w:val="-13"/>
          <w:w w:val="110"/>
          <w:sz w:val="70"/>
        </w:rPr>
        <w:t>  </w:t>
      </w:r>
      <w:r>
        <w:rPr>
          <w:rFonts w:ascii="Calibri"/>
          <w:color w:val="FFFFFF"/>
          <w:spacing w:val="7"/>
          <w:w w:val="110"/>
          <w:sz w:val="70"/>
        </w:rPr>
        <w:t>Jackson</w:t>
      </w:r>
    </w:p>
    <w:p>
      <w:pPr>
        <w:pStyle w:val="Heading1"/>
      </w:pPr>
      <w:r>
        <w:rPr>
          <w:color w:val="FFFFFF"/>
          <w:spacing w:val="-2"/>
        </w:rPr>
        <w:t>Compensation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And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Benefits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Manager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Compensation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Strategist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focus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z w:val="16"/>
        </w:rPr>
        <w:t>equity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-2"/>
          <w:sz w:val="16"/>
        </w:rPr>
        <w:t>efficiency</w:t>
      </w:r>
    </w:p>
    <w:p>
      <w:pPr>
        <w:spacing w:line="271" w:lineRule="auto" w:before="25"/>
        <w:ind w:left="590" w:right="4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HR Leader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with 11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expertise in compensation analysis, total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rewards design, and executive pay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structures. Known for building transparent, competitive programs that drive retention and fairness.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33373C"/>
          <w:w w:val="125"/>
        </w:rPr>
        <w:t>Personal</w:t>
      </w:r>
      <w:r>
        <w:rPr>
          <w:rFonts w:ascii="Calibri"/>
          <w:color w:val="33373C"/>
          <w:spacing w:val="60"/>
          <w:w w:val="125"/>
        </w:rPr>
        <w:t> </w:t>
      </w:r>
      <w:r>
        <w:rPr>
          <w:rFonts w:ascii="Calibri"/>
          <w:color w:val="33373C"/>
          <w:spacing w:val="-2"/>
          <w:w w:val="125"/>
        </w:rPr>
        <w:t>Information</w:t>
      </w:r>
      <w:r>
        <w:rPr>
          <w:rFonts w:ascii="Calibri"/>
          <w:color w:val="33373C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69859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7" w:right="70"/>
      </w:pPr>
      <w:r>
        <w:rPr/>
        <w:br w:type="column"/>
      </w:r>
      <w:r>
        <w:rPr>
          <w:w w:val="110"/>
        </w:rPr>
        <w:t>COMPENSATION</w:t>
      </w:r>
      <w:r>
        <w:rPr>
          <w:spacing w:val="32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BENEFITS</w:t>
      </w:r>
      <w:r>
        <w:rPr>
          <w:spacing w:val="40"/>
          <w:w w:val="110"/>
        </w:rPr>
        <w:t> </w:t>
      </w:r>
      <w:r>
        <w:rPr>
          <w:w w:val="110"/>
        </w:rPr>
        <w:t>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WESTLAKE</w:t>
      </w:r>
      <w:r>
        <w:rPr>
          <w:spacing w:val="40"/>
          <w:w w:val="110"/>
        </w:rPr>
        <w:t> </w:t>
      </w:r>
      <w:r>
        <w:rPr>
          <w:w w:val="110"/>
        </w:rPr>
        <w:t>LOGISTICS,</w:t>
      </w:r>
      <w:r>
        <w:rPr>
          <w:spacing w:val="40"/>
          <w:w w:val="110"/>
        </w:rPr>
        <w:t> </w:t>
      </w:r>
      <w:r>
        <w:rPr>
          <w:w w:val="110"/>
        </w:rPr>
        <w:t>PHOENIX,</w:t>
      </w:r>
      <w:r>
        <w:rPr>
          <w:spacing w:val="32"/>
          <w:w w:val="110"/>
        </w:rPr>
        <w:t> </w:t>
      </w:r>
      <w:r>
        <w:rPr>
          <w:w w:val="110"/>
        </w:rPr>
        <w:t>AZ MAY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33373C"/>
          <w:w w:val="130"/>
        </w:rPr>
        <w:t>Key</w:t>
      </w:r>
      <w:r>
        <w:rPr>
          <w:rFonts w:ascii="Calibri"/>
          <w:color w:val="33373C"/>
          <w:spacing w:val="11"/>
          <w:w w:val="130"/>
        </w:rPr>
        <w:t> </w:t>
      </w:r>
      <w:r>
        <w:rPr>
          <w:rFonts w:ascii="Calibri"/>
          <w:color w:val="33373C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450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Redesigned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compensation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bands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align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market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data,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pay disparities by 19%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191" w:hanging="298"/>
        <w:jc w:val="left"/>
        <w:rPr>
          <w:sz w:val="18"/>
        </w:rPr>
      </w:pPr>
      <w:r>
        <w:rPr>
          <w:sz w:val="18"/>
        </w:rPr>
        <w:t>Introduced</w:t>
      </w:r>
      <w:r>
        <w:rPr>
          <w:spacing w:val="40"/>
          <w:sz w:val="18"/>
        </w:rPr>
        <w:t> </w:t>
      </w:r>
      <w:r>
        <w:rPr>
          <w:sz w:val="18"/>
        </w:rPr>
        <w:t>flexible</w:t>
      </w:r>
      <w:r>
        <w:rPr>
          <w:spacing w:val="40"/>
          <w:sz w:val="18"/>
        </w:rPr>
        <w:t> </w:t>
      </w:r>
      <w:r>
        <w:rPr>
          <w:sz w:val="18"/>
        </w:rPr>
        <w:t>benefits</w:t>
      </w:r>
      <w:r>
        <w:rPr>
          <w:spacing w:val="40"/>
          <w:sz w:val="18"/>
        </w:rPr>
        <w:t> </w:t>
      </w:r>
      <w:r>
        <w:rPr>
          <w:sz w:val="18"/>
        </w:rPr>
        <w:t>offerings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led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24%</w:t>
      </w:r>
      <w:r>
        <w:rPr>
          <w:spacing w:val="4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employee enrollment satisfaction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584" w:hanging="298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annual salary audits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compensation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 executive review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2362" w:space="156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217348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114086pt;width:6.0pt;height:3.75pt;mso-position-horizontal-relative:page;mso-position-vertical-relative:paragraph;z-index:-15776768" id="docshape1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Compensation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benchmarking</w:t>
      </w:r>
    </w:p>
    <w:p>
      <w:pPr>
        <w:pStyle w:val="BodyText"/>
        <w:spacing w:line="266" w:lineRule="auto" w:before="21"/>
        <w:ind w:left="349" w:right="1077"/>
      </w:pPr>
      <w:r>
        <w:rPr/>
        <w:br w:type="column"/>
      </w:r>
      <w:r>
        <w:rPr>
          <w:w w:val="110"/>
        </w:rPr>
        <w:t>HR COMPENSATION 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METROMEDIA CORP., SCOTTSDALE, AZ JULY 2013 </w:t>
      </w:r>
      <w:r>
        <w:rPr>
          <w:w w:val="130"/>
        </w:rPr>
        <w:t>– </w:t>
      </w:r>
      <w:r>
        <w:rPr>
          <w:w w:val="110"/>
        </w:rPr>
        <w:t>APRIL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3319" w:space="66"/>
            <w:col w:w="78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96363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765pt;width:6.0pt;height:3.75pt;mso-position-horizontal-relative:page;mso-position-vertical-relative:paragraph;z-index:-15776256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Cost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5744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Executive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compensation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7pt;width:6.0pt;height:3.75pt;mso-position-horizontal-relative:page;mso-position-vertical-relative:paragraph;z-index:-15775232" id="docshape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Market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pricing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4720" id="docshape5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Salary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structures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4208" id="docshape6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Total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rewards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31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salary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structures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titles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total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rewards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projections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Created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compensation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dashboards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Excel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HRIS</w:t>
      </w:r>
      <w:r>
        <w:rPr>
          <w:spacing w:val="13"/>
          <w:w w:val="110"/>
          <w:sz w:val="18"/>
        </w:rPr>
        <w:t> </w:t>
      </w:r>
      <w:r>
        <w:rPr>
          <w:spacing w:val="-4"/>
          <w:w w:val="110"/>
          <w:sz w:val="18"/>
        </w:rPr>
        <w:t>tools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2871" w:space="756"/>
            <w:col w:w="7585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962899"/>
                            <a:ext cx="5172710" cy="274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41930">
                                <a:moveTo>
                                  <a:pt x="0" y="2741676"/>
                                </a:moveTo>
                                <a:lnTo>
                                  <a:pt x="5172110" y="2741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3621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333749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7" coordorigin="0,0" coordsize="11919,16858">
                <v:rect style="position:absolute;left:3773;top:12540;width:8146;height:4318" id="docshape8" filled="true" fillcolor="#33373c" stroked="false">
                  <v:fill opacity="32899f" type="solid"/>
                </v:rect>
                <v:rect style="position:absolute;left:0;top:0;width:11919;height:3720" id="docshape9" filled="true" fillcolor="#424242" stroked="false">
                  <v:fill type="solid"/>
                </v:rect>
                <v:rect style="position:absolute;left:3780;top:3720;width:8139;height:8820" id="docshape10" filled="true" fillcolor="#33373c" stroked="false">
                  <v:fill opacity="32899f" type="solid"/>
                </v:rect>
                <v:shape style="position:absolute;left:4259;top:5250;width:120;height:3270" id="docshape11" coordorigin="4260,5250" coordsize="120,3270" path="m4380,8445l4260,8445,4260,8520,4380,8520,4380,8445xm4380,8115l4260,8115,4260,8190,4380,8190,4380,8115xm4380,7800l4260,7800,4260,7875,4380,7875,4380,7800xm4380,6375l4260,6375,4260,6450,4380,6450,4380,6375xm4380,5805l4260,5805,4260,5880,4380,5880,4380,5805xm4380,5250l4260,5250,4260,5325,4380,5325,4380,525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33373C"/>
          <w:spacing w:val="-2"/>
          <w:w w:val="130"/>
        </w:rPr>
        <w:t>Education</w:t>
      </w:r>
    </w:p>
    <w:p>
      <w:pPr>
        <w:pStyle w:val="BodyText"/>
        <w:spacing w:before="5"/>
        <w:rPr>
          <w:rFonts w:ascii="Calibri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576" w:hanging="298"/>
        <w:jc w:val="left"/>
        <w:rPr>
          <w:sz w:val="18"/>
        </w:rPr>
      </w:pPr>
      <w:r>
        <w:rPr>
          <w:w w:val="110"/>
          <w:sz w:val="18"/>
        </w:rPr>
        <w:t>Bachelor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Science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in Finance and Human</w:t>
      </w:r>
    </w:p>
    <w:p>
      <w:pPr>
        <w:pStyle w:val="BodyText"/>
        <w:spacing w:before="37"/>
        <w:ind w:left="646"/>
      </w:pPr>
      <w:r>
        <w:rPr/>
        <w:t>Resources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41"/>
        </w:rPr>
        <w:t> </w:t>
      </w:r>
      <w:r>
        <w:rPr>
          <w:spacing w:val="-4"/>
        </w:rPr>
        <w:t>2012</w:t>
      </w:r>
    </w:p>
    <w:p>
      <w:pPr>
        <w:pStyle w:val="BodyText"/>
        <w:spacing w:before="107"/>
      </w:pPr>
    </w:p>
    <w:p>
      <w:pPr>
        <w:pStyle w:val="BodyText"/>
        <w:spacing w:line="276" w:lineRule="auto"/>
        <w:ind w:left="646" w:right="7832"/>
      </w:pPr>
      <w:r>
        <w:rPr>
          <w:w w:val="105"/>
        </w:rPr>
        <w:t>Arizona State University, Tempe,</w:t>
      </w:r>
      <w:r>
        <w:rPr>
          <w:spacing w:val="-1"/>
          <w:w w:val="105"/>
        </w:rPr>
        <w:t> </w:t>
      </w:r>
      <w:r>
        <w:rPr>
          <w:w w:val="105"/>
        </w:rPr>
        <w:t>AZ</w:t>
      </w:r>
    </w:p>
    <w:sectPr>
      <w:type w:val="continuous"/>
      <w:pgSz w:w="11920" w:h="16860"/>
      <w:pgMar w:top="7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145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2026-02-15T05:51:55Z</dcterms:created>
  <dcterms:modified xsi:type="dcterms:W3CDTF">2026-02-15T05:51:55Z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