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6"/>
        <w:ind w:firstLine="0"/>
        <w:rPr>
          <w:rFonts w:ascii="Times New Roman"/>
          <w:sz w:val="85"/>
        </w:rPr>
      </w:pPr>
    </w:p>
    <w:p>
      <w:pPr>
        <w:spacing w:before="1"/>
        <w:ind w:left="17" w:right="0" w:firstLine="0"/>
        <w:jc w:val="left"/>
        <w:rPr>
          <w:rFonts w:ascii="Trebuchet MS"/>
          <w:sz w:val="85"/>
        </w:rPr>
      </w:pPr>
      <w:r>
        <w:rPr>
          <w:rFonts w:ascii="Trebuchet MS"/>
          <w:b/>
          <w:color w:val="F98B78"/>
          <w:spacing w:val="9"/>
          <w:sz w:val="85"/>
        </w:rPr>
        <w:t>Blake</w:t>
      </w:r>
      <w:r>
        <w:rPr>
          <w:rFonts w:ascii="Trebuchet MS"/>
          <w:b/>
          <w:color w:val="F98B78"/>
          <w:spacing w:val="-35"/>
          <w:sz w:val="85"/>
        </w:rPr>
        <w:t> </w:t>
      </w:r>
      <w:r>
        <w:rPr>
          <w:rFonts w:ascii="Trebuchet MS"/>
          <w:color w:val="F98B78"/>
          <w:spacing w:val="9"/>
          <w:sz w:val="85"/>
        </w:rPr>
        <w:t>Allen</w:t>
      </w:r>
    </w:p>
    <w:p>
      <w:pPr>
        <w:spacing w:before="191"/>
        <w:ind w:left="17" w:right="0" w:firstLine="0"/>
        <w:jc w:val="left"/>
        <w:rPr>
          <w:rFonts w:ascii="Trebuchet MS"/>
          <w:sz w:val="33"/>
        </w:rPr>
      </w:pPr>
      <w:r>
        <w:rPr>
          <w:rFonts w:ascii="Trebuchet MS"/>
          <w:color w:val="DF6665"/>
          <w:sz w:val="33"/>
        </w:rPr>
        <w:t>IT</w:t>
      </w:r>
      <w:r>
        <w:rPr>
          <w:rFonts w:ascii="Trebuchet MS"/>
          <w:color w:val="DF6665"/>
          <w:spacing w:val="-25"/>
          <w:sz w:val="33"/>
        </w:rPr>
        <w:t> </w:t>
      </w:r>
      <w:r>
        <w:rPr>
          <w:rFonts w:ascii="Trebuchet MS"/>
          <w:color w:val="DF6665"/>
          <w:sz w:val="33"/>
        </w:rPr>
        <w:t>Compliance</w:t>
      </w:r>
      <w:r>
        <w:rPr>
          <w:rFonts w:ascii="Trebuchet MS"/>
          <w:color w:val="DF6665"/>
          <w:spacing w:val="-19"/>
          <w:sz w:val="33"/>
        </w:rPr>
        <w:t> </w:t>
      </w:r>
      <w:r>
        <w:rPr>
          <w:rFonts w:ascii="Trebuchet MS"/>
          <w:color w:val="DF6665"/>
          <w:sz w:val="33"/>
        </w:rPr>
        <w:t>Project</w:t>
      </w:r>
      <w:r>
        <w:rPr>
          <w:rFonts w:ascii="Trebuchet MS"/>
          <w:color w:val="DF6665"/>
          <w:spacing w:val="-18"/>
          <w:sz w:val="33"/>
        </w:rPr>
        <w:t> </w:t>
      </w:r>
      <w:r>
        <w:rPr>
          <w:rFonts w:ascii="Trebuchet MS"/>
          <w:color w:val="DF6665"/>
          <w:spacing w:val="-2"/>
          <w:sz w:val="33"/>
        </w:rPr>
        <w:t>Manager</w:t>
      </w:r>
    </w:p>
    <w:p>
      <w:pPr>
        <w:spacing w:before="205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(000)</w:t>
      </w:r>
      <w:r>
        <w:rPr>
          <w:spacing w:val="49"/>
          <w:w w:val="115"/>
          <w:sz w:val="18"/>
        </w:rPr>
        <w:t> </w:t>
      </w:r>
      <w:r>
        <w:rPr>
          <w:w w:val="115"/>
          <w:sz w:val="18"/>
        </w:rPr>
        <w:t>000-0000</w:t>
      </w:r>
      <w:r>
        <w:rPr>
          <w:spacing w:val="73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2"/>
          <w:w w:val="115"/>
          <w:sz w:val="13"/>
        </w:rPr>
        <w:t>  </w:t>
      </w:r>
      <w:r>
        <w:rPr>
          <w:w w:val="115"/>
          <w:sz w:val="18"/>
        </w:rPr>
        <w:t>City,</w:t>
      </w:r>
      <w:r>
        <w:rPr>
          <w:spacing w:val="51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72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2"/>
          <w:w w:val="115"/>
          <w:sz w:val="13"/>
        </w:rPr>
        <w:t>  </w:t>
      </w:r>
      <w:hyperlink r:id="rId5">
        <w:r>
          <w:rPr>
            <w:w w:val="115"/>
            <w:sz w:val="18"/>
          </w:rPr>
          <w:t>email@example.com</w:t>
        </w:r>
      </w:hyperlink>
      <w:r>
        <w:rPr>
          <w:spacing w:val="73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2"/>
          <w:w w:val="115"/>
          <w:sz w:val="13"/>
        </w:rPr>
        <w:t>  </w:t>
      </w:r>
      <w:r>
        <w:rPr>
          <w:spacing w:val="-2"/>
          <w:w w:val="115"/>
          <w:sz w:val="18"/>
        </w:rPr>
        <w:t>LinkedIn</w:t>
      </w:r>
    </w:p>
    <w:p>
      <w:pPr>
        <w:pStyle w:val="BodyText"/>
        <w:spacing w:before="6"/>
        <w:ind w:firstLine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112470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8.85597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7"/>
        <w:ind w:firstLine="0"/>
      </w:pPr>
    </w:p>
    <w:p>
      <w:pPr>
        <w:pStyle w:val="BodyText"/>
        <w:ind w:left="35" w:firstLine="0"/>
      </w:pPr>
      <w:r>
        <w:rPr>
          <w:w w:val="130"/>
        </w:rPr>
        <w:t>Ensuring</w:t>
      </w:r>
      <w:r>
        <w:rPr>
          <w:spacing w:val="23"/>
          <w:w w:val="130"/>
        </w:rPr>
        <w:t> </w:t>
      </w:r>
      <w:r>
        <w:rPr>
          <w:w w:val="130"/>
        </w:rPr>
        <w:t>IT</w:t>
      </w:r>
      <w:r>
        <w:rPr>
          <w:spacing w:val="24"/>
          <w:w w:val="130"/>
        </w:rPr>
        <w:t> </w:t>
      </w:r>
      <w:r>
        <w:rPr>
          <w:w w:val="130"/>
        </w:rPr>
        <w:t>project</w:t>
      </w:r>
      <w:r>
        <w:rPr>
          <w:spacing w:val="23"/>
          <w:w w:val="130"/>
        </w:rPr>
        <w:t> </w:t>
      </w:r>
      <w:r>
        <w:rPr>
          <w:w w:val="130"/>
        </w:rPr>
        <w:t>success</w:t>
      </w:r>
      <w:r>
        <w:rPr>
          <w:spacing w:val="24"/>
          <w:w w:val="130"/>
        </w:rPr>
        <w:t> </w:t>
      </w:r>
      <w:r>
        <w:rPr>
          <w:w w:val="130"/>
        </w:rPr>
        <w:t>through</w:t>
      </w:r>
      <w:r>
        <w:rPr>
          <w:spacing w:val="23"/>
          <w:w w:val="130"/>
        </w:rPr>
        <w:t> </w:t>
      </w:r>
      <w:r>
        <w:rPr>
          <w:w w:val="130"/>
        </w:rPr>
        <w:t>governance</w:t>
      </w:r>
      <w:r>
        <w:rPr>
          <w:spacing w:val="24"/>
          <w:w w:val="130"/>
        </w:rPr>
        <w:t> </w:t>
      </w:r>
      <w:r>
        <w:rPr>
          <w:w w:val="130"/>
        </w:rPr>
        <w:t>and</w:t>
      </w:r>
      <w:r>
        <w:rPr>
          <w:spacing w:val="24"/>
          <w:w w:val="130"/>
        </w:rPr>
        <w:t> </w:t>
      </w:r>
      <w:r>
        <w:rPr>
          <w:spacing w:val="-2"/>
          <w:w w:val="130"/>
        </w:rPr>
        <w:t>compliance</w:t>
      </w:r>
    </w:p>
    <w:p>
      <w:pPr>
        <w:pStyle w:val="BodyText"/>
        <w:spacing w:line="285" w:lineRule="auto" w:before="30"/>
        <w:ind w:left="35" w:right="29" w:firstLine="0"/>
      </w:pPr>
      <w:r>
        <w:rPr>
          <w:w w:val="130"/>
        </w:rPr>
        <w:t>Highly organized IT Project Manager with 10 years of experience leading compliance-focused projects. Specializes in</w:t>
      </w:r>
      <w:r>
        <w:rPr>
          <w:spacing w:val="40"/>
          <w:w w:val="130"/>
        </w:rPr>
        <w:t> </w:t>
      </w:r>
      <w:r>
        <w:rPr>
          <w:w w:val="130"/>
        </w:rPr>
        <w:t>implementing</w:t>
      </w:r>
      <w:r>
        <w:rPr>
          <w:spacing w:val="24"/>
          <w:w w:val="130"/>
        </w:rPr>
        <w:t> </w:t>
      </w:r>
      <w:r>
        <w:rPr>
          <w:w w:val="130"/>
        </w:rPr>
        <w:t>risk</w:t>
      </w:r>
      <w:r>
        <w:rPr>
          <w:spacing w:val="24"/>
          <w:w w:val="130"/>
        </w:rPr>
        <w:t> </w:t>
      </w:r>
      <w:r>
        <w:rPr>
          <w:w w:val="130"/>
        </w:rPr>
        <w:t>mitigation</w:t>
      </w:r>
      <w:r>
        <w:rPr>
          <w:spacing w:val="24"/>
          <w:w w:val="130"/>
        </w:rPr>
        <w:t> </w:t>
      </w:r>
      <w:r>
        <w:rPr>
          <w:w w:val="130"/>
        </w:rPr>
        <w:t>strategies,</w:t>
      </w:r>
      <w:r>
        <w:rPr>
          <w:spacing w:val="24"/>
          <w:w w:val="130"/>
        </w:rPr>
        <w:t> </w:t>
      </w:r>
      <w:r>
        <w:rPr>
          <w:w w:val="130"/>
        </w:rPr>
        <w:t>regulatory</w:t>
      </w:r>
      <w:r>
        <w:rPr>
          <w:spacing w:val="24"/>
          <w:w w:val="130"/>
        </w:rPr>
        <w:t> </w:t>
      </w:r>
      <w:r>
        <w:rPr>
          <w:w w:val="130"/>
        </w:rPr>
        <w:t>frameworks,</w:t>
      </w:r>
      <w:r>
        <w:rPr>
          <w:spacing w:val="24"/>
          <w:w w:val="130"/>
        </w:rPr>
        <w:t> </w:t>
      </w:r>
      <w:r>
        <w:rPr>
          <w:w w:val="130"/>
        </w:rPr>
        <w:t>and</w:t>
      </w:r>
      <w:r>
        <w:rPr>
          <w:spacing w:val="24"/>
          <w:w w:val="130"/>
        </w:rPr>
        <w:t> </w:t>
      </w:r>
      <w:r>
        <w:rPr>
          <w:w w:val="130"/>
        </w:rPr>
        <w:t>IT</w:t>
      </w:r>
      <w:r>
        <w:rPr>
          <w:spacing w:val="24"/>
          <w:w w:val="130"/>
        </w:rPr>
        <w:t> </w:t>
      </w:r>
      <w:r>
        <w:rPr>
          <w:w w:val="130"/>
        </w:rPr>
        <w:t>policy</w:t>
      </w:r>
      <w:r>
        <w:rPr>
          <w:spacing w:val="24"/>
          <w:w w:val="130"/>
        </w:rPr>
        <w:t> </w:t>
      </w:r>
      <w:r>
        <w:rPr>
          <w:w w:val="130"/>
        </w:rPr>
        <w:t>development</w:t>
      </w:r>
      <w:r>
        <w:rPr>
          <w:spacing w:val="24"/>
          <w:w w:val="130"/>
        </w:rPr>
        <w:t> </w:t>
      </w:r>
      <w:r>
        <w:rPr>
          <w:w w:val="130"/>
        </w:rPr>
        <w:t>in</w:t>
      </w:r>
      <w:r>
        <w:rPr>
          <w:spacing w:val="24"/>
          <w:w w:val="130"/>
        </w:rPr>
        <w:t> </w:t>
      </w:r>
      <w:r>
        <w:rPr>
          <w:w w:val="130"/>
        </w:rPr>
        <w:t>the</w:t>
      </w:r>
      <w:r>
        <w:rPr>
          <w:spacing w:val="24"/>
          <w:w w:val="130"/>
        </w:rPr>
        <w:t> </w:t>
      </w:r>
      <w:r>
        <w:rPr>
          <w:w w:val="130"/>
        </w:rPr>
        <w:t>finance</w:t>
      </w:r>
      <w:r>
        <w:rPr>
          <w:spacing w:val="24"/>
          <w:w w:val="130"/>
        </w:rPr>
        <w:t> </w:t>
      </w:r>
      <w:r>
        <w:rPr>
          <w:w w:val="130"/>
        </w:rPr>
        <w:t>and</w:t>
      </w:r>
      <w:r>
        <w:rPr>
          <w:spacing w:val="24"/>
          <w:w w:val="130"/>
        </w:rPr>
        <w:t> </w:t>
      </w:r>
      <w:r>
        <w:rPr>
          <w:w w:val="130"/>
        </w:rPr>
        <w:t>legal </w:t>
      </w:r>
      <w:r>
        <w:rPr>
          <w:spacing w:val="-2"/>
          <w:w w:val="130"/>
        </w:rPr>
        <w:t>industries.</w:t>
      </w:r>
    </w:p>
    <w:p>
      <w:pPr>
        <w:pStyle w:val="BodyText"/>
        <w:spacing w:before="87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360550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8.389835pt;width:539.249957pt;height:.75pt;mso-position-horizontal-relative:page;mso-position-vertical-relative:paragraph;z-index:15731200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z w:val="46"/>
        </w:rPr>
        <w:t>K</w:t>
      </w:r>
      <w:r>
        <w:rPr>
          <w:color w:val="F98B78"/>
        </w:rPr>
        <w:t>EY</w:t>
      </w:r>
      <w:r>
        <w:rPr>
          <w:color w:val="F98B78"/>
          <w:spacing w:val="14"/>
        </w:rPr>
        <w:t> </w:t>
      </w:r>
      <w:r>
        <w:rPr>
          <w:color w:val="F98B78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BodyText"/>
        <w:spacing w:before="11"/>
        <w:ind w:firstLine="0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581024</wp:posOffset>
                </wp:positionH>
                <wp:positionV relativeFrom="paragraph">
                  <wp:posOffset>95817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7.544717pt;width:5.25pt;height:3.75pt;mso-position-horizontal-relative:page;mso-position-vertical-relative:paragraph;z-index:-15772160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Audit</w:t>
      </w:r>
      <w:r>
        <w:rPr>
          <w:spacing w:val="13"/>
          <w:w w:val="130"/>
          <w:sz w:val="16"/>
        </w:rPr>
        <w:t> </w:t>
      </w:r>
      <w:r>
        <w:rPr>
          <w:spacing w:val="-2"/>
          <w:w w:val="130"/>
          <w:sz w:val="16"/>
        </w:rPr>
        <w:t>readiness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581024</wp:posOffset>
                </wp:positionH>
                <wp:positionV relativeFrom="paragraph">
                  <wp:posOffset>84238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632973pt;width:5.25pt;height:3.75pt;mso-position-horizontal-relative:page;mso-position-vertical-relative:paragraph;z-index:-15771136" id="docshape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Documentation</w:t>
      </w:r>
      <w:r>
        <w:rPr>
          <w:spacing w:val="53"/>
          <w:w w:val="130"/>
          <w:sz w:val="16"/>
        </w:rPr>
        <w:t> </w:t>
      </w:r>
      <w:r>
        <w:rPr>
          <w:spacing w:val="-2"/>
          <w:w w:val="130"/>
          <w:sz w:val="16"/>
        </w:rPr>
        <w:t>control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89001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7.007971pt;width:5.25pt;height:3.75pt;mso-position-horizontal-relative:page;mso-position-vertical-relative:paragraph;z-index:-15770112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Policy</w:t>
      </w:r>
      <w:r>
        <w:rPr>
          <w:spacing w:val="18"/>
          <w:w w:val="130"/>
          <w:sz w:val="16"/>
        </w:rPr>
        <w:t> </w:t>
      </w:r>
      <w:r>
        <w:rPr>
          <w:spacing w:val="-2"/>
          <w:w w:val="130"/>
          <w:sz w:val="16"/>
        </w:rPr>
        <w:t>creation</w:t>
      </w:r>
    </w:p>
    <w:p>
      <w:pPr>
        <w:pStyle w:val="BodyText"/>
        <w:spacing w:before="1"/>
        <w:ind w:firstLine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6"/>
        </w:rPr>
        <w:t>Compliance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frameworks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(SOX,</w:t>
      </w:r>
      <w:r>
        <w:rPr>
          <w:spacing w:val="46"/>
          <w:w w:val="125"/>
          <w:sz w:val="16"/>
        </w:rPr>
        <w:t> </w:t>
      </w:r>
      <w:r>
        <w:rPr>
          <w:spacing w:val="-4"/>
          <w:w w:val="125"/>
          <w:sz w:val="16"/>
        </w:rPr>
        <w:t>GDPR)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2886074</wp:posOffset>
                </wp:positionH>
                <wp:positionV relativeFrom="paragraph">
                  <wp:posOffset>-115488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093589pt;width:6.0pt;height:3.75pt;mso-position-horizontal-relative:page;mso-position-vertical-relative:paragraph;z-index:-15771648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2886074</wp:posOffset>
                </wp:positionH>
                <wp:positionV relativeFrom="paragraph">
                  <wp:posOffset>84536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65641pt;width:6.0pt;height:3.75pt;mso-position-horizontal-relative:page;mso-position-vertical-relative:paragraph;z-index:-15770624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Governance</w:t>
      </w:r>
      <w:r>
        <w:rPr>
          <w:spacing w:val="10"/>
          <w:w w:val="130"/>
          <w:sz w:val="16"/>
        </w:rPr>
        <w:t> </w:t>
      </w:r>
      <w:r>
        <w:rPr>
          <w:spacing w:val="-2"/>
          <w:w w:val="130"/>
          <w:sz w:val="16"/>
        </w:rPr>
        <w:t>frameworks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2886074</wp:posOffset>
                </wp:positionH>
                <wp:positionV relativeFrom="paragraph">
                  <wp:posOffset>89298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7.031409pt;width:6.0pt;height:3.75pt;mso-position-horizontal-relative:page;mso-position-vertical-relative:paragraph;z-index:-15769600" id="docshape8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5"/>
          <w:sz w:val="16"/>
        </w:rPr>
        <w:t>Risk</w:t>
      </w:r>
      <w:r>
        <w:rPr>
          <w:spacing w:val="8"/>
          <w:w w:val="135"/>
          <w:sz w:val="16"/>
        </w:rPr>
        <w:t> </w:t>
      </w:r>
      <w:r>
        <w:rPr>
          <w:spacing w:val="-2"/>
          <w:w w:val="135"/>
          <w:sz w:val="16"/>
        </w:rPr>
        <w:t>management</w:t>
      </w:r>
    </w:p>
    <w:p>
      <w:pPr>
        <w:pStyle w:val="ListParagraph"/>
        <w:spacing w:after="0" w:line="34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585" w:space="1048"/>
            <w:col w:w="7296"/>
          </w:cols>
        </w:sectPr>
      </w:pPr>
    </w:p>
    <w:p>
      <w:pPr>
        <w:pStyle w:val="BodyText"/>
        <w:spacing w:before="1"/>
        <w:ind w:firstLine="0"/>
        <w:rPr>
          <w:sz w:val="15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425449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33.499996pt;width:539.249957pt;height:.75pt;mso-position-horizontal-relative:page;mso-position-vertical-relative:paragraph;z-index:-15727616;mso-wrap-distance-left:0;mso-wrap-distance-right:0" id="docshape11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w w:val="105"/>
          <w:sz w:val="46"/>
        </w:rPr>
        <w:t>P</w:t>
      </w:r>
      <w:r>
        <w:rPr>
          <w:color w:val="F98B78"/>
          <w:w w:val="105"/>
        </w:rPr>
        <w:t>ROFESSIONAL</w:t>
      </w:r>
      <w:r>
        <w:rPr>
          <w:color w:val="F98B78"/>
          <w:spacing w:val="69"/>
          <w:w w:val="105"/>
        </w:rPr>
        <w:t> </w:t>
      </w:r>
      <w:r>
        <w:rPr>
          <w:color w:val="F98B78"/>
          <w:spacing w:val="-2"/>
          <w:w w:val="105"/>
        </w:rPr>
        <w:t>EXPERIENCE</w:t>
      </w:r>
    </w:p>
    <w:p>
      <w:pPr>
        <w:tabs>
          <w:tab w:pos="8998" w:val="left" w:leader="none"/>
        </w:tabs>
        <w:spacing w:before="221"/>
        <w:ind w:left="203" w:right="0" w:firstLine="0"/>
        <w:jc w:val="left"/>
        <w:rPr>
          <w:position w:val="6"/>
          <w:sz w:val="16"/>
        </w:rPr>
      </w:pPr>
      <w:r>
        <w:rPr>
          <w:w w:val="125"/>
          <w:sz w:val="24"/>
        </w:rPr>
        <w:t>IT</w:t>
      </w:r>
      <w:r>
        <w:rPr>
          <w:spacing w:val="13"/>
          <w:w w:val="125"/>
          <w:sz w:val="24"/>
        </w:rPr>
        <w:t> </w:t>
      </w:r>
      <w:r>
        <w:rPr>
          <w:w w:val="125"/>
          <w:sz w:val="24"/>
        </w:rPr>
        <w:t>Compliance</w:t>
      </w:r>
      <w:r>
        <w:rPr>
          <w:spacing w:val="14"/>
          <w:w w:val="125"/>
          <w:sz w:val="24"/>
        </w:rPr>
        <w:t> </w:t>
      </w:r>
      <w:r>
        <w:rPr>
          <w:w w:val="125"/>
          <w:sz w:val="24"/>
        </w:rPr>
        <w:t>Project</w:t>
      </w:r>
      <w:r>
        <w:rPr>
          <w:spacing w:val="14"/>
          <w:w w:val="125"/>
          <w:sz w:val="24"/>
        </w:rPr>
        <w:t> </w:t>
      </w:r>
      <w:r>
        <w:rPr>
          <w:w w:val="125"/>
          <w:sz w:val="24"/>
        </w:rPr>
        <w:t>Manager,</w:t>
      </w:r>
      <w:r>
        <w:rPr>
          <w:spacing w:val="14"/>
          <w:w w:val="125"/>
          <w:sz w:val="24"/>
        </w:rPr>
        <w:t> </w:t>
      </w:r>
      <w:r>
        <w:rPr>
          <w:w w:val="125"/>
          <w:sz w:val="24"/>
        </w:rPr>
        <w:t>FinCom</w:t>
      </w:r>
      <w:r>
        <w:rPr>
          <w:spacing w:val="14"/>
          <w:w w:val="125"/>
          <w:sz w:val="24"/>
        </w:rPr>
        <w:t> </w:t>
      </w:r>
      <w:r>
        <w:rPr>
          <w:w w:val="125"/>
          <w:sz w:val="24"/>
        </w:rPr>
        <w:t>Global,</w:t>
      </w:r>
      <w:r>
        <w:rPr>
          <w:spacing w:val="14"/>
          <w:w w:val="125"/>
          <w:sz w:val="24"/>
        </w:rPr>
        <w:t> </w:t>
      </w:r>
      <w:r>
        <w:rPr>
          <w:w w:val="125"/>
          <w:sz w:val="24"/>
        </w:rPr>
        <w:t>Chicago,</w:t>
      </w:r>
      <w:r>
        <w:rPr>
          <w:spacing w:val="14"/>
          <w:w w:val="125"/>
          <w:sz w:val="24"/>
        </w:rPr>
        <w:t> </w:t>
      </w:r>
      <w:r>
        <w:rPr>
          <w:spacing w:val="-5"/>
          <w:w w:val="125"/>
          <w:sz w:val="24"/>
        </w:rPr>
        <w:t>IL</w:t>
      </w:r>
      <w:r>
        <w:rPr>
          <w:sz w:val="24"/>
        </w:rPr>
        <w:tab/>
      </w:r>
      <w:r>
        <w:rPr>
          <w:w w:val="120"/>
          <w:position w:val="6"/>
          <w:sz w:val="16"/>
        </w:rPr>
        <w:t>March</w:t>
      </w:r>
      <w:r>
        <w:rPr>
          <w:spacing w:val="8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2019</w:t>
      </w:r>
      <w:r>
        <w:rPr>
          <w:spacing w:val="9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–</w:t>
      </w:r>
      <w:r>
        <w:rPr>
          <w:spacing w:val="9"/>
          <w:w w:val="120"/>
          <w:position w:val="6"/>
          <w:sz w:val="16"/>
        </w:rPr>
        <w:t> </w:t>
      </w:r>
      <w:r>
        <w:rPr>
          <w:spacing w:val="-2"/>
          <w:w w:val="120"/>
          <w:position w:val="6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676274</wp:posOffset>
                </wp:positionH>
                <wp:positionV relativeFrom="paragraph">
                  <wp:posOffset>197504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551559pt;width:5.25pt;height:3.75pt;mso-position-horizontal-relative:page;mso-position-vertical-relative:paragraph;z-index:-15769088" id="docshape1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Oversaw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implementation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GDPR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compliance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systems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across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4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European</w:t>
      </w:r>
      <w:r>
        <w:rPr>
          <w:spacing w:val="19"/>
          <w:w w:val="130"/>
          <w:sz w:val="16"/>
        </w:rPr>
        <w:t> </w:t>
      </w:r>
      <w:r>
        <w:rPr>
          <w:spacing w:val="-2"/>
          <w:w w:val="130"/>
          <w:sz w:val="16"/>
        </w:rPr>
        <w:t>offices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87500</wp:posOffset>
                </wp:positionV>
                <wp:extent cx="66675" cy="38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89815pt;width:5.25pt;height:3.0pt;mso-position-horizontal-relative:page;mso-position-vertical-relative:paragraph;z-index:-15768576" id="docshape1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Reduced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audit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finding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rate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70%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through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an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automated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policy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tracking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system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676274</wp:posOffset>
                </wp:positionH>
                <wp:positionV relativeFrom="paragraph">
                  <wp:posOffset>82738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4813pt;width:5.25pt;height:3.75pt;mso-position-horizontal-relative:page;mso-position-vertical-relative:paragraph;z-index:-15768064" id="docshape1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Led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quarterly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IT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risk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review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board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meetings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compliance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training</w:t>
      </w:r>
      <w:r>
        <w:rPr>
          <w:spacing w:val="16"/>
          <w:w w:val="130"/>
          <w:sz w:val="16"/>
        </w:rPr>
        <w:t> </w:t>
      </w:r>
      <w:r>
        <w:rPr>
          <w:spacing w:val="-2"/>
          <w:w w:val="130"/>
          <w:sz w:val="16"/>
        </w:rPr>
        <w:t>sessions</w:t>
      </w:r>
    </w:p>
    <w:p>
      <w:pPr>
        <w:tabs>
          <w:tab w:pos="8570" w:val="left" w:leader="none"/>
        </w:tabs>
        <w:spacing w:before="241"/>
        <w:ind w:left="203" w:right="0" w:firstLine="0"/>
        <w:jc w:val="left"/>
        <w:rPr>
          <w:position w:val="6"/>
          <w:sz w:val="16"/>
        </w:rPr>
      </w:pPr>
      <w:r>
        <w:rPr>
          <w:w w:val="125"/>
          <w:sz w:val="24"/>
        </w:rPr>
        <w:t>Technology</w:t>
      </w:r>
      <w:r>
        <w:rPr>
          <w:spacing w:val="19"/>
          <w:w w:val="125"/>
          <w:sz w:val="24"/>
        </w:rPr>
        <w:t> </w:t>
      </w:r>
      <w:r>
        <w:rPr>
          <w:w w:val="125"/>
          <w:sz w:val="24"/>
        </w:rPr>
        <w:t>Risk</w:t>
      </w:r>
      <w:r>
        <w:rPr>
          <w:spacing w:val="20"/>
          <w:w w:val="125"/>
          <w:sz w:val="24"/>
        </w:rPr>
        <w:t> </w:t>
      </w:r>
      <w:r>
        <w:rPr>
          <w:w w:val="125"/>
          <w:sz w:val="24"/>
        </w:rPr>
        <w:t>Associate,</w:t>
      </w:r>
      <w:r>
        <w:rPr>
          <w:spacing w:val="20"/>
          <w:w w:val="125"/>
          <w:sz w:val="24"/>
        </w:rPr>
        <w:t> </w:t>
      </w:r>
      <w:r>
        <w:rPr>
          <w:w w:val="125"/>
          <w:sz w:val="24"/>
        </w:rPr>
        <w:t>LexaLegal</w:t>
      </w:r>
      <w:r>
        <w:rPr>
          <w:spacing w:val="20"/>
          <w:w w:val="125"/>
          <w:sz w:val="24"/>
        </w:rPr>
        <w:t> </w:t>
      </w:r>
      <w:r>
        <w:rPr>
          <w:w w:val="125"/>
          <w:sz w:val="24"/>
        </w:rPr>
        <w:t>Partners,</w:t>
      </w:r>
      <w:r>
        <w:rPr>
          <w:spacing w:val="20"/>
          <w:w w:val="125"/>
          <w:sz w:val="24"/>
        </w:rPr>
        <w:t> </w:t>
      </w:r>
      <w:r>
        <w:rPr>
          <w:w w:val="125"/>
          <w:sz w:val="24"/>
        </w:rPr>
        <w:t>Chicago,</w:t>
      </w:r>
      <w:r>
        <w:rPr>
          <w:spacing w:val="20"/>
          <w:w w:val="125"/>
          <w:sz w:val="24"/>
        </w:rPr>
        <w:t> </w:t>
      </w:r>
      <w:r>
        <w:rPr>
          <w:spacing w:val="-5"/>
          <w:w w:val="125"/>
          <w:sz w:val="24"/>
        </w:rPr>
        <w:t>IL</w:t>
      </w:r>
      <w:r>
        <w:rPr>
          <w:sz w:val="24"/>
        </w:rPr>
        <w:tab/>
      </w:r>
      <w:r>
        <w:rPr>
          <w:w w:val="125"/>
          <w:position w:val="6"/>
          <w:sz w:val="16"/>
        </w:rPr>
        <w:t>June</w:t>
      </w:r>
      <w:r>
        <w:rPr>
          <w:spacing w:val="18"/>
          <w:w w:val="125"/>
          <w:position w:val="6"/>
          <w:sz w:val="16"/>
        </w:rPr>
        <w:t> </w:t>
      </w:r>
      <w:r>
        <w:rPr>
          <w:w w:val="125"/>
          <w:position w:val="6"/>
          <w:sz w:val="16"/>
        </w:rPr>
        <w:t>2014</w:t>
      </w:r>
      <w:r>
        <w:rPr>
          <w:spacing w:val="19"/>
          <w:w w:val="125"/>
          <w:position w:val="6"/>
          <w:sz w:val="16"/>
        </w:rPr>
        <w:t> </w:t>
      </w:r>
      <w:r>
        <w:rPr>
          <w:w w:val="125"/>
          <w:position w:val="6"/>
          <w:sz w:val="16"/>
        </w:rPr>
        <w:t>–</w:t>
      </w:r>
      <w:r>
        <w:rPr>
          <w:spacing w:val="18"/>
          <w:w w:val="125"/>
          <w:position w:val="6"/>
          <w:sz w:val="16"/>
        </w:rPr>
        <w:t> </w:t>
      </w:r>
      <w:r>
        <w:rPr>
          <w:w w:val="125"/>
          <w:position w:val="6"/>
          <w:sz w:val="16"/>
        </w:rPr>
        <w:t>February</w:t>
      </w:r>
      <w:r>
        <w:rPr>
          <w:spacing w:val="19"/>
          <w:w w:val="125"/>
          <w:position w:val="6"/>
          <w:sz w:val="16"/>
        </w:rPr>
        <w:t> </w:t>
      </w:r>
      <w:r>
        <w:rPr>
          <w:spacing w:val="-4"/>
          <w:w w:val="125"/>
          <w:position w:val="6"/>
          <w:sz w:val="16"/>
        </w:rPr>
        <w:t>2019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197226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529629pt;width:5.25pt;height:3.75pt;mso-position-horizontal-relative:page;mso-position-vertical-relative:paragraph;z-index:-15767552" id="docshape1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Conducted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internal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audits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software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security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access</w:t>
      </w:r>
      <w:r>
        <w:rPr>
          <w:spacing w:val="14"/>
          <w:w w:val="130"/>
          <w:sz w:val="16"/>
        </w:rPr>
        <w:t> </w:t>
      </w:r>
      <w:r>
        <w:rPr>
          <w:spacing w:val="-2"/>
          <w:w w:val="130"/>
          <w:sz w:val="16"/>
        </w:rPr>
        <w:t>controls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87222</wp:posOffset>
                </wp:positionV>
                <wp:extent cx="66675" cy="3810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67884pt;width:5.25pt;height:3.0pt;mso-position-horizontal-relative:page;mso-position-vertical-relative:paragraph;z-index:-15767040" id="docshape1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Collaborated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legal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update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IT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policies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line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state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federal</w:t>
      </w:r>
      <w:r>
        <w:rPr>
          <w:spacing w:val="8"/>
          <w:w w:val="130"/>
          <w:sz w:val="16"/>
        </w:rPr>
        <w:t> </w:t>
      </w:r>
      <w:r>
        <w:rPr>
          <w:spacing w:val="-5"/>
          <w:w w:val="130"/>
          <w:sz w:val="16"/>
        </w:rPr>
        <w:t>law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82459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2883pt;width:5.25pt;height:3.75pt;mso-position-horizontal-relative:page;mso-position-vertical-relative:paragraph;z-index:-15766528" id="docshape1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Contributed</w:t>
      </w:r>
      <w:r>
        <w:rPr>
          <w:spacing w:val="28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ISO</w:t>
      </w:r>
      <w:r>
        <w:rPr>
          <w:spacing w:val="28"/>
          <w:w w:val="125"/>
          <w:sz w:val="16"/>
        </w:rPr>
        <w:t> </w:t>
      </w:r>
      <w:r>
        <w:rPr>
          <w:w w:val="125"/>
          <w:sz w:val="16"/>
        </w:rPr>
        <w:t>27001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certification</w:t>
      </w:r>
      <w:r>
        <w:rPr>
          <w:spacing w:val="28"/>
          <w:w w:val="125"/>
          <w:sz w:val="16"/>
        </w:rPr>
        <w:t> </w:t>
      </w:r>
      <w:r>
        <w:rPr>
          <w:spacing w:val="-2"/>
          <w:w w:val="125"/>
          <w:sz w:val="16"/>
        </w:rPr>
        <w:t>documentation</w:t>
      </w:r>
    </w:p>
    <w:p>
      <w:pPr>
        <w:pStyle w:val="BodyText"/>
        <w:spacing w:before="1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116917</wp:posOffset>
                </wp:positionV>
                <wp:extent cx="686752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6139pt;width:540.749957pt;height:.75pt;mso-position-horizontal-relative:page;mso-position-vertical-relative:paragraph;z-index:-15727104;mso-wrap-distance-left:0;mso-wrap-distance-right:0" id="docshape1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3" w:after="48"/>
      </w:pPr>
      <w:r>
        <w:rPr>
          <w:color w:val="F98B78"/>
          <w:spacing w:val="-2"/>
          <w:w w:val="105"/>
          <w:sz w:val="46"/>
        </w:rPr>
        <w:t>E</w:t>
      </w:r>
      <w:r>
        <w:rPr>
          <w:color w:val="F98B78"/>
          <w:spacing w:val="-2"/>
          <w:w w:val="105"/>
        </w:rPr>
        <w:t>DUCATION</w:t>
      </w:r>
    </w:p>
    <w:p>
      <w:pPr>
        <w:spacing w:line="20" w:lineRule="exact"/>
        <w:ind w:left="42" w:right="0" w:firstLine="0"/>
        <w:rPr>
          <w:rFonts w:ascii="Trebuchet MS"/>
          <w:sz w:val="2"/>
        </w:rPr>
      </w:pPr>
      <w:r>
        <w:rPr>
          <w:rFonts w:ascii="Trebuchet MS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9" coordorigin="0,0" coordsize="10785,15">
                <v:rect style="position:absolute;left:0;top:0;width:10785;height:15" id="docshape20" filled="true" fillcolor="#f98b78" stroked="false">
                  <v:fill type="solid"/>
                </v:rect>
              </v:group>
            </w:pict>
          </mc:Fallback>
        </mc:AlternateContent>
      </w:r>
      <w:r>
        <w:rPr>
          <w:rFonts w:ascii="Trebuchet MS"/>
          <w:sz w:val="2"/>
        </w:rPr>
      </w:r>
    </w:p>
    <w:p>
      <w:pPr>
        <w:pStyle w:val="BodyText"/>
        <w:ind w:firstLine="0"/>
        <w:rPr>
          <w:rFonts w:ascii="Trebuchet MS"/>
          <w:b/>
          <w:sz w:val="6"/>
        </w:rPr>
      </w:pPr>
    </w:p>
    <w:p>
      <w:pPr>
        <w:pStyle w:val="BodyText"/>
        <w:spacing w:after="0"/>
        <w:rPr>
          <w:rFonts w:ascii="Trebuchet MS"/>
          <w:b/>
          <w:sz w:val="6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32" w:lineRule="auto" w:before="83" w:after="0"/>
        <w:ind w:left="500" w:right="38" w:hanging="298"/>
        <w:jc w:val="left"/>
        <w:rPr>
          <w:rFonts w:ascii="Arial" w:hAnsi="Arial"/>
          <w:position w:val="1"/>
          <w:sz w:val="31"/>
        </w:rPr>
      </w:pPr>
      <w:r>
        <w:rPr>
          <w:rFonts w:ascii="Arial" w:hAnsi="Arial"/>
          <w:position w:val="1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856" id="docshape21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  <w:sz w:val="24"/>
        </w:rPr>
        <w:t>Bachelor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of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Science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in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Information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Assurance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and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Compliance,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Loyola University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Chicago</w:t>
      </w:r>
      <w:r>
        <w:rPr>
          <w:spacing w:val="40"/>
          <w:w w:val="120"/>
          <w:sz w:val="24"/>
        </w:rPr>
        <w:t> </w:t>
      </w:r>
      <w:r>
        <w:rPr>
          <w:sz w:val="24"/>
        </w:rPr>
        <w:t>|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Chicago,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IL</w:t>
      </w:r>
    </w:p>
    <w:p>
      <w:pPr>
        <w:pStyle w:val="BodyText"/>
        <w:spacing w:before="163"/>
        <w:ind w:left="203" w:firstLine="0"/>
      </w:pPr>
      <w:r>
        <w:rPr/>
        <w:br w:type="column"/>
      </w:r>
      <w:r>
        <w:rPr>
          <w:w w:val="120"/>
        </w:rPr>
        <w:t>May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2014</w:t>
      </w:r>
    </w:p>
    <w:sectPr>
      <w:type w:val="continuous"/>
      <w:pgSz w:w="11920" w:h="16860"/>
      <w:pgMar w:top="0" w:bottom="280" w:left="708" w:right="283"/>
      <w:cols w:num="2" w:equalWidth="0">
        <w:col w:w="9181" w:space="645"/>
        <w:col w:w="11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5"/>
      <w:outlineLvl w:val="1"/>
    </w:pPr>
    <w:rPr>
      <w:rFonts w:ascii="Trebuchet MS" w:hAnsi="Trebuchet MS" w:eastAsia="Trebuchet MS" w:cs="Trebuchet MS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9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2026-02-12T07:12:15Z</dcterms:created>
  <dcterms:modified xsi:type="dcterms:W3CDTF">2026-02-12T07:12:15Z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