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40"/>
        <w:rPr>
          <w:rFonts w:ascii="Times New Roman"/>
          <w:sz w:val="70"/>
        </w:rPr>
      </w:pPr>
    </w:p>
    <w:p>
      <w:pPr>
        <w:pStyle w:val="Heading1"/>
      </w:pPr>
      <w:r>
        <w:rPr>
          <w:color w:val="2BD879"/>
          <w:spacing w:val="11"/>
          <w:w w:val="125"/>
        </w:rPr>
        <w:t>Reese</w:t>
      </w:r>
      <w:r>
        <w:rPr>
          <w:color w:val="2BD879"/>
          <w:spacing w:val="20"/>
          <w:w w:val="125"/>
        </w:rPr>
        <w:t> </w:t>
      </w:r>
      <w:r>
        <w:rPr>
          <w:color w:val="2BD879"/>
          <w:spacing w:val="6"/>
          <w:w w:val="125"/>
        </w:rPr>
        <w:t>King</w:t>
      </w:r>
    </w:p>
    <w:p>
      <w:pPr>
        <w:spacing w:before="59"/>
        <w:ind w:left="3480" w:right="0" w:firstLine="0"/>
        <w:jc w:val="center"/>
        <w:rPr>
          <w:rFonts w:ascii="Calibri"/>
          <w:sz w:val="15"/>
        </w:rPr>
      </w:pPr>
      <w:r>
        <w:rPr>
          <w:rFonts w:ascii="Calibri"/>
          <w:color w:val="2BD879"/>
          <w:w w:val="125"/>
          <w:sz w:val="15"/>
        </w:rPr>
        <w:t>Business</w:t>
      </w:r>
      <w:r>
        <w:rPr>
          <w:rFonts w:ascii="Calibri"/>
          <w:color w:val="2BD879"/>
          <w:spacing w:val="22"/>
          <w:w w:val="125"/>
          <w:sz w:val="15"/>
        </w:rPr>
        <w:t> </w:t>
      </w:r>
      <w:r>
        <w:rPr>
          <w:rFonts w:ascii="Calibri"/>
          <w:color w:val="2BD879"/>
          <w:w w:val="125"/>
          <w:sz w:val="15"/>
        </w:rPr>
        <w:t>Risk</w:t>
      </w:r>
      <w:r>
        <w:rPr>
          <w:rFonts w:ascii="Calibri"/>
          <w:color w:val="2BD879"/>
          <w:spacing w:val="22"/>
          <w:w w:val="125"/>
          <w:sz w:val="15"/>
        </w:rPr>
        <w:t> </w:t>
      </w:r>
      <w:r>
        <w:rPr>
          <w:rFonts w:ascii="Calibri"/>
          <w:color w:val="2BD879"/>
          <w:spacing w:val="-2"/>
          <w:w w:val="125"/>
          <w:sz w:val="15"/>
        </w:rPr>
        <w:t>Manager</w:t>
      </w:r>
    </w:p>
    <w:p>
      <w:pPr>
        <w:pStyle w:val="BodyText"/>
        <w:spacing w:before="1"/>
        <w:rPr>
          <w:rFonts w:ascii="Calibri"/>
          <w:sz w:val="15"/>
        </w:rPr>
      </w:pPr>
    </w:p>
    <w:p>
      <w:pPr>
        <w:spacing w:line="271" w:lineRule="auto" w:before="0"/>
        <w:ind w:left="4482" w:right="999" w:hanging="1"/>
        <w:jc w:val="center"/>
        <w:rPr>
          <w:sz w:val="16"/>
        </w:rPr>
      </w:pPr>
      <w:r>
        <w:rPr>
          <w:color w:val="2BD879"/>
          <w:w w:val="105"/>
          <w:sz w:val="16"/>
        </w:rPr>
        <w:t>Business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Risk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Manager</w:t>
      </w:r>
      <w:r>
        <w:rPr>
          <w:color w:val="2BD879"/>
          <w:spacing w:val="27"/>
          <w:w w:val="105"/>
          <w:sz w:val="16"/>
        </w:rPr>
        <w:t> </w:t>
      </w:r>
      <w:r>
        <w:rPr>
          <w:color w:val="2BD879"/>
          <w:w w:val="105"/>
          <w:sz w:val="16"/>
        </w:rPr>
        <w:t>with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13</w:t>
      </w:r>
      <w:r>
        <w:rPr>
          <w:color w:val="2BD879"/>
          <w:spacing w:val="35"/>
          <w:w w:val="105"/>
          <w:sz w:val="16"/>
        </w:rPr>
        <w:t> </w:t>
      </w:r>
      <w:r>
        <w:rPr>
          <w:color w:val="2BD879"/>
          <w:w w:val="105"/>
          <w:sz w:val="16"/>
        </w:rPr>
        <w:t>years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of</w:t>
      </w:r>
      <w:r>
        <w:rPr>
          <w:color w:val="2BD879"/>
          <w:spacing w:val="37"/>
          <w:w w:val="105"/>
          <w:sz w:val="16"/>
        </w:rPr>
        <w:t> </w:t>
      </w:r>
      <w:r>
        <w:rPr>
          <w:color w:val="2BD879"/>
          <w:w w:val="105"/>
          <w:sz w:val="16"/>
        </w:rPr>
        <w:t>experience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identifying,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assessing, and mitigating operational and financial risks. Skilled in compliance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management,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audit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coordination,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and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risk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modeling.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Known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for</w:t>
      </w:r>
      <w:r>
        <w:rPr>
          <w:color w:val="2BD879"/>
          <w:spacing w:val="34"/>
          <w:w w:val="105"/>
          <w:sz w:val="16"/>
        </w:rPr>
        <w:t> </w:t>
      </w:r>
      <w:r>
        <w:rPr>
          <w:color w:val="2BD879"/>
          <w:w w:val="105"/>
          <w:sz w:val="16"/>
        </w:rPr>
        <w:t>developing frameworks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that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safeguard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assets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and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ensure</w:t>
      </w:r>
      <w:r>
        <w:rPr>
          <w:color w:val="2BD879"/>
          <w:spacing w:val="40"/>
          <w:w w:val="105"/>
          <w:sz w:val="16"/>
        </w:rPr>
        <w:t> </w:t>
      </w:r>
      <w:r>
        <w:rPr>
          <w:color w:val="2BD879"/>
          <w:w w:val="105"/>
          <w:sz w:val="16"/>
        </w:rPr>
        <w:t>regulatory</w:t>
      </w:r>
      <w:r>
        <w:rPr>
          <w:color w:val="2BD879"/>
          <w:spacing w:val="34"/>
          <w:w w:val="105"/>
          <w:sz w:val="16"/>
        </w:rPr>
        <w:t> </w:t>
      </w:r>
      <w:r>
        <w:rPr>
          <w:color w:val="2BD879"/>
          <w:w w:val="105"/>
          <w:sz w:val="16"/>
        </w:rPr>
        <w:t>adherence.</w:t>
      </w:r>
    </w:p>
    <w:p>
      <w:pPr>
        <w:pStyle w:val="BodyText"/>
        <w:spacing w:before="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153056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51704pt;width:387.45pt;height:18.75pt;mso-position-horizontal-relative:page;mso-position-vertical-relative:paragraph;z-index:-15728640;mso-wrap-distance-left:0;mso-wrap-distance-right:0" type="#_x0000_t202" id="docshape1" filled="true" fillcolor="#2bd879" stroked="false">
                <v:textbox inset="0,0,0,0">
                  <w:txbxContent>
                    <w:p>
                      <w:pPr>
                        <w:spacing w:before="89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PROFESSIONAL 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10"/>
      </w:pPr>
    </w:p>
    <w:p>
      <w:pPr>
        <w:pStyle w:val="Heading2"/>
        <w:spacing w:before="0"/>
        <w:ind w:left="114"/>
      </w:pPr>
      <w:r>
        <w:rPr>
          <w:color w:val="2BD879"/>
        </w:rPr>
        <w:t>PERSONAL</w:t>
      </w:r>
      <w:r>
        <w:rPr>
          <w:color w:val="2BD879"/>
          <w:spacing w:val="5"/>
        </w:rPr>
        <w:t> </w:t>
      </w:r>
      <w:r>
        <w:rPr>
          <w:color w:val="2BD879"/>
          <w:spacing w:val="-2"/>
        </w:rPr>
        <w:t>INFORMATION</w:t>
      </w:r>
    </w:p>
    <w:p>
      <w:pPr>
        <w:pStyle w:val="BodyText"/>
        <w:spacing w:before="204"/>
        <w:rPr>
          <w:rFonts w:ascii="Verdana"/>
          <w:b/>
        </w:rPr>
      </w:pPr>
    </w:p>
    <w:p>
      <w:pPr>
        <w:pStyle w:val="BodyText"/>
        <w:ind w:left="820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619" w:lineRule="auto"/>
        <w:ind w:left="839" w:hanging="19"/>
      </w:pPr>
      <w:hyperlink r:id="rId5">
        <w:r>
          <w:rPr>
            <w:color w:val="FFFFFF"/>
            <w:spacing w:val="-2"/>
            <w:w w:val="105"/>
          </w:rPr>
          <w:t>reese.king@email.com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81" w:lineRule="exact"/>
        <w:ind w:left="820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Heading2"/>
        <w:spacing w:before="1"/>
        <w:ind w:left="114"/>
      </w:pPr>
      <w:r>
        <w:rPr>
          <w:color w:val="2BD879"/>
        </w:rPr>
        <w:t>KEY</w:t>
      </w:r>
      <w:r>
        <w:rPr>
          <w:color w:val="2BD879"/>
          <w:spacing w:val="-6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before="204"/>
        <w:rPr>
          <w:rFonts w:ascii="Verdana"/>
          <w:b/>
        </w:rPr>
      </w:pPr>
    </w:p>
    <w:p>
      <w:pPr>
        <w:pStyle w:val="BodyText"/>
        <w:spacing w:line="374" w:lineRule="auto"/>
        <w:ind w:left="690"/>
      </w:pPr>
      <w:r>
        <w:rPr>
          <w:color w:val="FFFFFF"/>
          <w:w w:val="110"/>
        </w:rPr>
        <w:t>Audit Coordination Compliance Management Operational Risk Mitigation Risk Assessment Frameworks Risk Modeling</w:t>
      </w:r>
    </w:p>
    <w:p>
      <w:pPr>
        <w:pStyle w:val="BodyText"/>
        <w:spacing w:line="199" w:lineRule="exact"/>
        <w:ind w:left="690"/>
      </w:pPr>
      <w:r>
        <w:rPr>
          <w:color w:val="FFFFFF"/>
          <w:spacing w:val="2"/>
          <w:w w:val="105"/>
        </w:rPr>
        <w:t>Stakeholder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before="106"/>
        <w:ind w:left="114"/>
      </w:pPr>
      <w:r>
        <w:rPr/>
        <w:br w:type="column"/>
      </w:r>
      <w:r>
        <w:rPr>
          <w:w w:val="105"/>
        </w:rPr>
        <w:t>April</w:t>
      </w:r>
      <w:r>
        <w:rPr>
          <w:spacing w:val="-5"/>
          <w:w w:val="105"/>
        </w:rPr>
        <w:t> </w:t>
      </w:r>
      <w:r>
        <w:rPr>
          <w:w w:val="105"/>
        </w:rPr>
        <w:t>2012</w:t>
      </w:r>
      <w:r>
        <w:rPr>
          <w:spacing w:val="2"/>
          <w:w w:val="105"/>
        </w:rPr>
        <w:t> </w:t>
      </w:r>
      <w:r>
        <w:rPr>
          <w:w w:val="105"/>
        </w:rPr>
        <w:t>-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1"/>
        <w:ind w:left="114"/>
      </w:pPr>
      <w:r>
        <w:rPr/>
        <w:t>Risk</w:t>
      </w:r>
      <w:r>
        <w:rPr>
          <w:spacing w:val="39"/>
        </w:rPr>
        <w:t> </w:t>
      </w:r>
      <w:r>
        <w:rPr/>
        <w:t>Manager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Sterling</w:t>
      </w:r>
      <w:r>
        <w:rPr>
          <w:spacing w:val="40"/>
        </w:rPr>
        <w:t> </w:t>
      </w:r>
      <w:r>
        <w:rPr/>
        <w:t>Financial</w:t>
      </w:r>
      <w:r>
        <w:rPr>
          <w:spacing w:val="29"/>
        </w:rPr>
        <w:t> </w:t>
      </w:r>
      <w:r>
        <w:rPr/>
        <w:t>Services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Charlotte,</w:t>
      </w:r>
      <w:r>
        <w:rPr>
          <w:spacing w:val="39"/>
        </w:rPr>
        <w:t> </w:t>
      </w:r>
      <w:r>
        <w:rPr>
          <w:spacing w:val="-5"/>
        </w:rPr>
        <w:t>NC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151" w:after="0"/>
        <w:ind w:left="895" w:right="687" w:hanging="304"/>
        <w:jc w:val="left"/>
        <w:rPr>
          <w:sz w:val="18"/>
        </w:rPr>
      </w:pPr>
      <w:r>
        <w:rPr>
          <w:w w:val="105"/>
          <w:sz w:val="18"/>
        </w:rPr>
        <w:t>Implemented an enterprise risk framework that reduced 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 by 35%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4" w:after="0"/>
        <w:ind w:left="895" w:right="891" w:hanging="304"/>
        <w:jc w:val="left"/>
        <w:rPr>
          <w:sz w:val="18"/>
        </w:rPr>
      </w:pPr>
      <w:r>
        <w:rPr>
          <w:w w:val="105"/>
          <w:sz w:val="18"/>
        </w:rPr>
        <w:t>Coordinated internal audits that identified $2.4M in potential fraud, preventing financial losses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89" w:after="0"/>
        <w:ind w:left="895" w:right="356" w:hanging="304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departments,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response times to identified threats by 20%</w:t>
      </w:r>
    </w:p>
    <w:p>
      <w:pPr>
        <w:pStyle w:val="BodyText"/>
        <w:spacing w:before="178"/>
        <w:ind w:left="114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2010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5"/>
          <w:w w:val="105"/>
        </w:rPr>
        <w:t> </w:t>
      </w:r>
      <w:r>
        <w:rPr>
          <w:w w:val="105"/>
        </w:rPr>
        <w:t>April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76"/>
        <w:ind w:left="114"/>
      </w:pPr>
      <w:r>
        <w:rPr/>
        <w:t>Risk</w:t>
      </w:r>
      <w:r>
        <w:rPr>
          <w:spacing w:val="20"/>
        </w:rPr>
        <w:t> </w:t>
      </w:r>
      <w:r>
        <w:rPr/>
        <w:t>Analyst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/>
        <w:t>CapitalGuard</w:t>
      </w:r>
      <w:r>
        <w:rPr>
          <w:spacing w:val="30"/>
        </w:rPr>
        <w:t> </w:t>
      </w:r>
      <w:r>
        <w:rPr/>
        <w:t>Bank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r>
        <w:rPr/>
        <w:t>Charlotte,</w:t>
      </w:r>
      <w:r>
        <w:rPr>
          <w:spacing w:val="30"/>
        </w:rPr>
        <w:t> </w:t>
      </w:r>
      <w:r>
        <w:rPr>
          <w:spacing w:val="-5"/>
        </w:rPr>
        <w:t>NC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51" w:after="0"/>
        <w:ind w:left="895" w:right="951" w:hanging="304"/>
        <w:jc w:val="left"/>
        <w:rPr>
          <w:sz w:val="18"/>
        </w:rPr>
      </w:pPr>
      <w:r>
        <w:rPr>
          <w:w w:val="105"/>
          <w:sz w:val="18"/>
        </w:rPr>
        <w:t>Monitored risk exposure across investment portfolios, advising 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adjustments that minimized losses during market volatility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90" w:after="0"/>
        <w:ind w:left="895" w:right="473" w:hanging="304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revising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pass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rates by 12%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visibility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key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indicators</w:t>
      </w: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286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pt;mso-position-horizontal-relative:char;mso-position-vertical-relative:line" type="#_x0000_t202" id="docshape2" filled="true" fillcolor="#2bd879" stroked="false">
                <w10:anchorlock/>
                <v:textbox inset="0,0,0,0">
                  <w:txbxContent>
                    <w:p>
                      <w:pPr>
                        <w:spacing w:before="74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6"/>
        <w:ind w:left="114"/>
      </w:pPr>
      <w:r>
        <w:rPr>
          <w:w w:val="105"/>
        </w:rPr>
        <w:t>Bachelor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Science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76"/>
        <w:ind w:left="114"/>
      </w:pPr>
      <w:r>
        <w:rPr/>
        <w:t>University</w:t>
      </w:r>
      <w:r>
        <w:rPr>
          <w:spacing w:val="20"/>
        </w:rPr>
        <w:t> </w:t>
      </w:r>
      <w:r>
        <w:rPr/>
        <w:t>of</w:t>
      </w:r>
      <w:r>
        <w:rPr>
          <w:spacing w:val="22"/>
        </w:rPr>
        <w:t> </w:t>
      </w:r>
      <w:r>
        <w:rPr/>
        <w:t>North</w:t>
      </w:r>
      <w:r>
        <w:rPr>
          <w:spacing w:val="28"/>
        </w:rPr>
        <w:t> </w:t>
      </w:r>
      <w:r>
        <w:rPr/>
        <w:t>Carolina</w:t>
      </w:r>
      <w:r>
        <w:rPr>
          <w:spacing w:val="28"/>
        </w:rPr>
        <w:t> </w:t>
      </w:r>
      <w:r>
        <w:rPr/>
        <w:t>at</w:t>
      </w:r>
      <w:r>
        <w:rPr>
          <w:spacing w:val="29"/>
        </w:rPr>
        <w:t> </w:t>
      </w:r>
      <w:r>
        <w:rPr/>
        <w:t>Charlotte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Charlotte,</w:t>
      </w:r>
      <w:r>
        <w:rPr>
          <w:spacing w:val="28"/>
        </w:rPr>
        <w:t> </w:t>
      </w:r>
      <w:r>
        <w:rPr/>
        <w:t>NC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2010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362" w:space="451"/>
            <w:col w:w="7682"/>
          </w:cols>
        </w:sectPr>
      </w:pPr>
    </w:p>
    <w:p>
      <w:pPr>
        <w:pStyle w:val="BodyText"/>
        <w:spacing w:before="4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5153024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4448" id="docshapegroup3" coordorigin="0,0" coordsize="4050,16860">
                <v:shape style="position:absolute;left:0;top:0;width:4050;height:16860" id="docshape4" coordorigin="0,0" coordsize="4050,16860" path="m4050,7695l0,7695,0,12750,0,16860,4050,16860,4050,12750,4050,7695xm4050,4575l0,4575,0,7320,4050,7320,4050,4575xm4050,0l0,0,0,4110,0,4200,4050,4200,4050,4110,4050,0xe" filled="true" fillcolor="#2bd879" stroked="false">
                  <v:path arrowok="t"/>
                  <v:fill type="solid"/>
                </v:shape>
                <v:shape style="position:absolute;left:0;top:4200;width:4050;height:3495" id="docshape5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6" o:title=""/>
                </v:shape>
                <v:shape style="position:absolute;left:825;top:4905;width:255;height:261" type="#_x0000_t75" id="docshape8" stroked="false">
                  <v:imagedata r:id="rId7" o:title=""/>
                </v:shape>
                <v:shape style="position:absolute;left:842;top:5415;width:226;height:255" type="#_x0000_t75" id="docshape9" stroked="false">
                  <v:imagedata r:id="rId8" o:title=""/>
                </v:shape>
                <v:shape style="position:absolute;left:825;top:5927;width:256;height:226" type="#_x0000_t75" id="docshape10" stroked="false">
                  <v:imagedata r:id="rId9" o:title=""/>
                </v:shape>
                <v:shape style="position:absolute;left:825;top:6465;width:255;height:261" type="#_x0000_t75" id="docshape11" stroked="false">
                  <v:imagedata r:id="rId10" o:title=""/>
                </v:shape>
                <v:shape style="position:absolute;left:824;top:8115;width:75;height:1695" id="docshape12" coordorigin="825,8115" coordsize="75,1695" path="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pt;mso-position-horizontal-relative:char;mso-position-vertical-relative:line" type="#_x0000_t202" id="docshape13" filled="true" fillcolor="#2bd879" stroked="false">
                <w10:anchorlock/>
                <v:textbox inset="0,0,0,0">
                  <w:txbxContent>
                    <w:p>
                      <w:pPr>
                        <w:spacing w:before="74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1"/>
          <w:numId w:val="1"/>
        </w:numPr>
        <w:tabs>
          <w:tab w:pos="4224" w:val="left" w:leader="none"/>
        </w:tabs>
        <w:spacing w:line="276" w:lineRule="auto" w:before="161" w:after="0"/>
        <w:ind w:left="4224" w:right="1007" w:hanging="300"/>
        <w:jc w:val="left"/>
        <w:rPr>
          <w:sz w:val="18"/>
        </w:rPr>
      </w:pPr>
      <w:r>
        <w:rPr>
          <w:w w:val="105"/>
          <w:sz w:val="18"/>
        </w:rPr>
        <w:t>Financial Risk Manager (FRM), Global Association of Risk Professionals,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December 2016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224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4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89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73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8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42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7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11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480" w:right="11"/>
      <w:jc w:val="center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18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1"/>
      <w:ind w:left="895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2026-02-11T01:58:37Z</dcterms:created>
  <dcterms:modified xsi:type="dcterms:W3CDTF">2026-02-11T01:58:37Z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