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286" w:right="15" w:firstLine="0"/>
        <w:jc w:val="center"/>
        <w:rPr>
          <w:sz w:val="74"/>
        </w:rPr>
      </w:pPr>
      <w:r>
        <w:rPr>
          <w:b/>
          <w:color w:val="FFFFFF"/>
          <w:spacing w:val="11"/>
          <w:sz w:val="74"/>
        </w:rPr>
        <w:t>Chris</w:t>
      </w:r>
      <w:r>
        <w:rPr>
          <w:b/>
          <w:color w:val="FFFFFF"/>
          <w:spacing w:val="32"/>
          <w:sz w:val="74"/>
        </w:rPr>
        <w:t> </w:t>
      </w:r>
      <w:r>
        <w:rPr>
          <w:color w:val="FFFFFF"/>
          <w:spacing w:val="10"/>
          <w:sz w:val="74"/>
        </w:rPr>
        <w:t>Jackson</w:t>
      </w:r>
    </w:p>
    <w:p>
      <w:pPr>
        <w:pStyle w:val="Heading1"/>
      </w:pPr>
      <w:r>
        <w:rPr>
          <w:color w:val="FFFFFF"/>
        </w:rPr>
        <w:t>Senior</w:t>
      </w:r>
      <w:r>
        <w:rPr>
          <w:color w:val="FFFFFF"/>
          <w:spacing w:val="-7"/>
        </w:rPr>
        <w:t> </w:t>
      </w:r>
      <w:r>
        <w:rPr>
          <w:color w:val="FFFFFF"/>
        </w:rPr>
        <w:t>Tax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Accountant</w:t>
      </w:r>
    </w:p>
    <w:p>
      <w:pPr>
        <w:spacing w:before="193"/>
        <w:ind w:left="590" w:right="0" w:firstLine="0"/>
        <w:jc w:val="left"/>
        <w:rPr>
          <w:sz w:val="16"/>
        </w:rPr>
      </w:pPr>
      <w:r>
        <w:rPr>
          <w:color w:val="FFFFFF"/>
          <w:spacing w:val="-2"/>
          <w:w w:val="105"/>
          <w:sz w:val="16"/>
        </w:rPr>
        <w:t>Senior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Tax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Accountant</w:t>
      </w:r>
      <w:r>
        <w:rPr>
          <w:color w:val="FFFFFF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with</w:t>
      </w:r>
      <w:r>
        <w:rPr>
          <w:color w:val="FFFFFF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8</w:t>
      </w:r>
      <w:r>
        <w:rPr>
          <w:color w:val="FFFFFF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years</w:t>
      </w:r>
      <w:r>
        <w:rPr>
          <w:color w:val="FFFFFF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of</w:t>
      </w:r>
      <w:r>
        <w:rPr>
          <w:color w:val="FFFFFF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public</w:t>
      </w:r>
      <w:r>
        <w:rPr>
          <w:color w:val="FFFFFF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accounting</w:t>
      </w:r>
      <w:r>
        <w:rPr>
          <w:color w:val="FFFFFF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experience</w:t>
      </w:r>
    </w:p>
    <w:p>
      <w:pPr>
        <w:spacing w:line="273" w:lineRule="auto" w:before="26"/>
        <w:ind w:left="590" w:right="334" w:firstLine="0"/>
        <w:jc w:val="left"/>
        <w:rPr>
          <w:sz w:val="16"/>
        </w:rPr>
      </w:pPr>
      <w:r>
        <w:rPr>
          <w:color w:val="FFFFFF"/>
          <w:w w:val="105"/>
          <w:sz w:val="16"/>
        </w:rPr>
        <w:t>CPA</w:t>
      </w:r>
      <w:r>
        <w:rPr>
          <w:color w:val="FFFFFF"/>
          <w:spacing w:val="-12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-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corporate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individual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tax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compliance,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planning,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audit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support.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ﬁling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accuracy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 reducing client tax exposure.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20" w:bottom="280" w:left="283" w:right="566"/>
        </w:sectPr>
      </w:pPr>
    </w:p>
    <w:p>
      <w:pPr>
        <w:pStyle w:val="Heading2"/>
        <w:spacing w:before="81"/>
      </w:pPr>
      <w:r>
        <w:rPr>
          <w:color w:val="21A699"/>
        </w:rPr>
        <w:t>Contact</w:t>
      </w:r>
      <w:r>
        <w:rPr>
          <w:color w:val="21A699"/>
          <w:spacing w:val="49"/>
        </w:rPr>
        <w:t> </w:t>
      </w:r>
      <w:r>
        <w:rPr>
          <w:color w:val="21A699"/>
          <w:spacing w:val="-2"/>
        </w:rPr>
        <w:t>Information</w:t>
      </w:r>
    </w:p>
    <w:p>
      <w:pPr>
        <w:pStyle w:val="BodyText"/>
        <w:spacing w:before="57"/>
        <w:rPr>
          <w:sz w:val="22"/>
        </w:rPr>
      </w:pPr>
    </w:p>
    <w:p>
      <w:pPr>
        <w:pStyle w:val="BodyText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-7075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2"/>
        <w:spacing w:before="66"/>
      </w:pPr>
      <w:r>
        <w:rPr/>
        <w:br w:type="column"/>
      </w:r>
      <w:r>
        <w:rPr/>
        <w:t>Professional</w:t>
      </w:r>
      <w:r>
        <w:rPr>
          <w:spacing w:val="79"/>
        </w:rPr>
        <w:t> </w:t>
      </w:r>
      <w:r>
        <w:rPr>
          <w:spacing w:val="-2"/>
        </w:rPr>
        <w:t>Experience</w:t>
      </w:r>
    </w:p>
    <w:p>
      <w:pPr>
        <w:pStyle w:val="BodyText"/>
        <w:spacing w:before="45"/>
        <w:rPr>
          <w:sz w:val="22"/>
        </w:rPr>
      </w:pPr>
    </w:p>
    <w:p>
      <w:pPr>
        <w:pStyle w:val="BodyText"/>
        <w:spacing w:line="268" w:lineRule="auto"/>
        <w:ind w:left="51" w:right="1700"/>
      </w:pPr>
      <w:r>
        <w:rPr/>
        <w:t>SENIOR TAX ACCOUNTANT </w:t>
      </w:r>
      <w:r>
        <w:rPr>
          <w:position w:val="2"/>
        </w:rPr>
        <w:t>| </w:t>
      </w:r>
      <w:r>
        <w:rPr/>
        <w:t>REGIONAL CPA FIRM, CITY, ST JULY 2020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283" w:right="566"/>
          <w:cols w:num="2" w:equalWidth="0">
            <w:col w:w="2115" w:space="1567"/>
            <w:col w:w="7389"/>
          </w:cols>
        </w:sectPr>
      </w:pPr>
    </w:p>
    <w:p>
      <w:pPr>
        <w:pStyle w:val="BodyText"/>
        <w:spacing w:before="87"/>
        <w:ind w:left="347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</w:p>
    <w:p>
      <w:pPr>
        <w:pStyle w:val="BodyText"/>
        <w:spacing w:before="93"/>
      </w:pPr>
    </w:p>
    <w:p>
      <w:pPr>
        <w:pStyle w:val="BodyText"/>
        <w:ind w:left="346"/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24242"/>
          <w:w w:val="105"/>
        </w:rPr>
        <w:t>City, ST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</w:tabs>
        <w:spacing w:line="343" w:lineRule="exact" w:before="161" w:after="0"/>
        <w:ind w:left="642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Prepared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reviewed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150+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federal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state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tax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returns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</w:tabs>
        <w:spacing w:line="343" w:lineRule="exact" w:before="0" w:after="0"/>
        <w:ind w:left="64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Reduced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tax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liabilities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12%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proactive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820" w:bottom="280" w:left="283" w:right="566"/>
          <w:cols w:num="2" w:equalWidth="0">
            <w:col w:w="2634" w:space="995"/>
            <w:col w:w="7442"/>
          </w:cols>
        </w:sectPr>
      </w:pPr>
    </w:p>
    <w:p>
      <w:pPr>
        <w:pStyle w:val="BodyText"/>
        <w:spacing w:before="21"/>
        <w:rPr>
          <w:sz w:val="22"/>
        </w:rPr>
      </w:pPr>
    </w:p>
    <w:p>
      <w:pPr>
        <w:pStyle w:val="Heading2"/>
      </w:pPr>
      <w:r>
        <w:rPr>
          <w:color w:val="21A699"/>
        </w:rPr>
        <w:t>Key</w:t>
      </w:r>
      <w:r>
        <w:rPr>
          <w:color w:val="21A699"/>
          <w:spacing w:val="25"/>
        </w:rPr>
        <w:t> </w:t>
      </w:r>
      <w:r>
        <w:rPr>
          <w:color w:val="21A699"/>
          <w:spacing w:val="-2"/>
        </w:rPr>
        <w:t>Skills</w:t>
      </w:r>
    </w:p>
    <w:p>
      <w:pPr>
        <w:pStyle w:val="BodyText"/>
        <w:spacing w:line="268" w:lineRule="auto" w:before="105"/>
        <w:ind w:left="51" w:right="1985"/>
      </w:pPr>
      <w:r>
        <w:rPr/>
        <w:br w:type="column"/>
      </w:r>
      <w:r>
        <w:rPr/>
        <w:t>TAX ACCOUNTANT </w:t>
      </w:r>
      <w:r>
        <w:rPr>
          <w:position w:val="2"/>
        </w:rPr>
        <w:t>| </w:t>
      </w:r>
      <w:r>
        <w:rPr/>
        <w:t>LOCAL ACCOUNTING GROUP, CITY, ST AUGUST 2017 – JUNE 2020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820" w:bottom="280" w:left="283" w:right="566"/>
          <w:cols w:num="2" w:equalWidth="0">
            <w:col w:w="1073" w:space="2610"/>
            <w:col w:w="7388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46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400049</wp:posOffset>
                </wp:positionH>
                <wp:positionV relativeFrom="paragraph">
                  <wp:posOffset>188421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4.836337pt;width:6.0pt;height:3.75pt;mso-position-horizontal-relative:page;mso-position-vertical-relative:paragraph;z-index:-15772672" id="docshape1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Corporate Tax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400049</wp:posOffset>
                </wp:positionH>
                <wp:positionV relativeFrom="paragraph">
                  <wp:posOffset>87307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874593pt;width:6.0pt;height:3.75pt;mso-position-horizontal-relative:page;mso-position-vertical-relative:paragraph;z-index:-15772160" id="docshape2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Tax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400049</wp:posOffset>
                </wp:positionH>
                <wp:positionV relativeFrom="paragraph">
                  <wp:posOffset>82544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499591pt;width:6.0pt;height:3.75pt;mso-position-horizontal-relative:page;mso-position-vertical-relative:paragraph;z-index:-15771648" id="docshape3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GAAP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400049</wp:posOffset>
                </wp:positionH>
                <wp:positionV relativeFrom="paragraph">
                  <wp:posOffset>87307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87459pt;width:6.0pt;height:3.75pt;mso-position-horizontal-relative:page;mso-position-vertical-relative:paragraph;z-index:-15771136" id="docshape4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IRS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Regulations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400049</wp:posOffset>
                </wp:positionH>
                <wp:positionV relativeFrom="paragraph">
                  <wp:posOffset>87307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A69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874589pt;width:6.0pt;height:3.75pt;mso-position-horizontal-relative:page;mso-position-vertical-relative:paragraph;z-index:-15770624" id="docshape5" filled="true" fillcolor="#21a699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Tax</w:t>
      </w:r>
      <w:r>
        <w:rPr>
          <w:spacing w:val="-6"/>
          <w:sz w:val="18"/>
        </w:rPr>
        <w:t> </w:t>
      </w:r>
      <w:r>
        <w:rPr>
          <w:spacing w:val="-2"/>
          <w:sz w:val="18"/>
        </w:rPr>
        <w:t>Research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6" w:lineRule="exact" w:before="156" w:after="0"/>
        <w:ind w:left="64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Supported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tax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filings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small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individual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6" w:lineRule="exact" w:before="0" w:after="0"/>
        <w:ind w:left="64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Assisted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IRS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correspondence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audit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spacing w:after="0" w:line="346" w:lineRule="exact"/>
        <w:jc w:val="left"/>
        <w:rPr>
          <w:position w:val="-4"/>
          <w:sz w:val="31"/>
        </w:rPr>
        <w:sectPr>
          <w:type w:val="continuous"/>
          <w:pgSz w:w="11920" w:h="16860"/>
          <w:pgMar w:top="820" w:bottom="280" w:left="283" w:right="566"/>
          <w:cols w:num="2" w:equalWidth="0">
            <w:col w:w="2993" w:space="634"/>
            <w:col w:w="7444"/>
          </w:cols>
        </w:sectPr>
      </w:pPr>
    </w:p>
    <w:p>
      <w:pPr>
        <w:pStyle w:val="Heading2"/>
        <w:spacing w:before="2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396073" y="7372349"/>
                            <a:ext cx="5172710" cy="33324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332479">
                                <a:moveTo>
                                  <a:pt x="0" y="3332226"/>
                                </a:moveTo>
                                <a:lnTo>
                                  <a:pt x="5172110" y="33322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322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568565" cy="241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19350">
                                <a:moveTo>
                                  <a:pt x="7568183" y="2419349"/>
                                </a:moveTo>
                                <a:lnTo>
                                  <a:pt x="0" y="2419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1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400299" y="2419349"/>
                            <a:ext cx="5168265" cy="495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4953000">
                                <a:moveTo>
                                  <a:pt x="5167883" y="4952999"/>
                                </a:moveTo>
                                <a:lnTo>
                                  <a:pt x="0" y="49529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4952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705087" y="3428999"/>
                            <a:ext cx="76200" cy="1228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1228725">
                                <a:moveTo>
                                  <a:pt x="76200" y="1181100"/>
                                </a:moveTo>
                                <a:lnTo>
                                  <a:pt x="0" y="1181100"/>
                                </a:lnTo>
                                <a:lnTo>
                                  <a:pt x="0" y="1228725"/>
                                </a:lnTo>
                                <a:lnTo>
                                  <a:pt x="76200" y="1228725"/>
                                </a:lnTo>
                                <a:lnTo>
                                  <a:pt x="76200" y="1181100"/>
                                </a:lnTo>
                                <a:close/>
                              </a:path>
                              <a:path w="76200" h="1228725">
                                <a:moveTo>
                                  <a:pt x="76200" y="971550"/>
                                </a:moveTo>
                                <a:lnTo>
                                  <a:pt x="0" y="971550"/>
                                </a:lnTo>
                                <a:lnTo>
                                  <a:pt x="0" y="1019175"/>
                                </a:lnTo>
                                <a:lnTo>
                                  <a:pt x="76200" y="1019175"/>
                                </a:lnTo>
                                <a:lnTo>
                                  <a:pt x="76200" y="971550"/>
                                </a:lnTo>
                                <a:close/>
                              </a:path>
                              <a:path w="76200" h="1228725">
                                <a:moveTo>
                                  <a:pt x="76200" y="209550"/>
                                </a:moveTo>
                                <a:lnTo>
                                  <a:pt x="0" y="209550"/>
                                </a:lnTo>
                                <a:lnTo>
                                  <a:pt x="0" y="257175"/>
                                </a:lnTo>
                                <a:lnTo>
                                  <a:pt x="76200" y="257175"/>
                                </a:lnTo>
                                <a:lnTo>
                                  <a:pt x="76200" y="209550"/>
                                </a:lnTo>
                                <a:close/>
                              </a:path>
                              <a:path w="76200" h="122872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5"/>
                                </a:lnTo>
                                <a:lnTo>
                                  <a:pt x="76200" y="47625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A6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696" id="docshapegroup6" coordorigin="0,0" coordsize="11919,16858">
                <v:rect style="position:absolute;left:3773;top:11610;width:8146;height:5248" id="docshape7" filled="true" fillcolor="#21a699" stroked="false">
                  <v:fill opacity="32899f" type="solid"/>
                </v:rect>
                <v:rect style="position:absolute;left:0;top:0;width:11919;height:3810" id="docshape8" filled="true" fillcolor="#424242" stroked="false">
                  <v:fill type="solid"/>
                </v:rect>
                <v:rect style="position:absolute;left:3780;top:3810;width:8139;height:7800" id="docshape9" filled="true" fillcolor="#21a699" stroked="false">
                  <v:fill opacity="32899f" type="solid"/>
                </v:rect>
                <v:shape style="position:absolute;left:4259;top:5400;width:120;height:1935" id="docshape10" coordorigin="4260,5400" coordsize="120,1935" path="m4380,7260l4260,7260,4260,7335,4380,7335,4380,7260xm4380,6930l4260,6930,4260,7005,4380,7005,4380,6930xm4380,5730l4260,5730,4260,5805,4380,5805,4380,5730xm4380,5400l4260,5400,4260,5475,4380,5475,4380,5400xe" filled="true" fillcolor="#21a69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1A699"/>
          <w:spacing w:val="-2"/>
        </w:rPr>
        <w:t>Education</w:t>
      </w:r>
    </w:p>
    <w:p>
      <w:pPr>
        <w:pStyle w:val="BodyText"/>
        <w:spacing w:before="39"/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0" w:after="0"/>
        <w:ind w:left="646" w:right="8472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Science in </w:t>
      </w:r>
      <w:r>
        <w:rPr>
          <w:spacing w:val="-2"/>
          <w:w w:val="105"/>
          <w:sz w:val="18"/>
        </w:rPr>
        <w:t>Accounting</w:t>
      </w:r>
    </w:p>
    <w:p>
      <w:pPr>
        <w:pStyle w:val="BodyText"/>
        <w:spacing w:before="118"/>
      </w:pPr>
    </w:p>
    <w:p>
      <w:pPr>
        <w:pStyle w:val="BodyText"/>
        <w:spacing w:line="626" w:lineRule="auto"/>
        <w:ind w:left="646" w:right="8104"/>
      </w:pPr>
      <w:r>
        <w:rPr/>
        <w:t>State University, City, ST May 2017</w:t>
      </w:r>
    </w:p>
    <w:sectPr>
      <w:type w:val="continuous"/>
      <w:pgSz w:w="11920" w:h="16860"/>
      <w:pgMar w:top="820" w:bottom="280" w:left="283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2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2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8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07"/>
      <w:ind w:left="286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2026-02-12T17:24:06Z</dcterms:created>
  <dcterms:modified xsi:type="dcterms:W3CDTF">2026-02-12T17:24:06Z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