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David</w:t>
      </w:r>
      <w:r>
        <w:rPr>
          <w:rFonts w:ascii="Arial"/>
          <w:b/>
          <w:color w:val="FFFFFF"/>
          <w:spacing w:val="52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Harper</w:t>
      </w:r>
    </w:p>
    <w:p>
      <w:pPr>
        <w:pStyle w:val="Heading1"/>
        <w:spacing w:before="146"/>
        <w:ind w:left="448"/>
      </w:pPr>
      <w:r>
        <w:rPr>
          <w:color w:val="FFFFFF"/>
          <w:spacing w:val="-2"/>
        </w:rPr>
        <w:t>Fintech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Customer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Success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Manager</w:t>
      </w:r>
    </w:p>
    <w:p>
      <w:pPr>
        <w:spacing w:before="170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Customer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Success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Professional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specializing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in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fintech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digital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banking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solutions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Fintech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engagement,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advisory,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adoption.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best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practices.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line="264" w:lineRule="auto"/>
        <w:ind w:right="143"/>
      </w:pPr>
      <w:r>
        <w:rPr>
          <w:color w:val="49443D"/>
          <w:spacing w:val="-2"/>
        </w:rPr>
        <w:t>PERSONAL INFORMATION</w:t>
      </w:r>
    </w:p>
    <w:p>
      <w:pPr>
        <w:pStyle w:val="BodyText"/>
        <w:spacing w:before="48"/>
        <w:rPr>
          <w:rFonts w:ascii="Arial"/>
          <w:b/>
          <w:sz w:val="26"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49443D"/>
          <w:spacing w:val="-4"/>
        </w:rPr>
        <w:t>PROFESSIONAL</w:t>
      </w:r>
      <w:r>
        <w:rPr>
          <w:color w:val="49443D"/>
          <w:spacing w:val="-2"/>
        </w:rPr>
        <w:t> EXPERIENCE</w:t>
      </w:r>
    </w:p>
    <w:p>
      <w:pPr>
        <w:pStyle w:val="BodyText"/>
        <w:spacing w:before="30"/>
        <w:rPr>
          <w:rFonts w:ascii="Arial"/>
          <w:b/>
          <w:sz w:val="26"/>
        </w:rPr>
      </w:pPr>
    </w:p>
    <w:p>
      <w:pPr>
        <w:pStyle w:val="BodyText"/>
        <w:ind w:left="225"/>
      </w:pPr>
      <w:r>
        <w:rPr>
          <w:w w:val="110"/>
        </w:rPr>
        <w:t>CUSTOMER</w:t>
      </w:r>
      <w:r>
        <w:rPr>
          <w:spacing w:val="46"/>
          <w:w w:val="110"/>
        </w:rPr>
        <w:t> </w:t>
      </w:r>
      <w:r>
        <w:rPr>
          <w:w w:val="110"/>
        </w:rPr>
        <w:t>SUCCESS</w:t>
      </w:r>
      <w:r>
        <w:rPr>
          <w:spacing w:val="46"/>
          <w:w w:val="110"/>
        </w:rPr>
        <w:t> </w:t>
      </w:r>
      <w:r>
        <w:rPr>
          <w:w w:val="110"/>
        </w:rPr>
        <w:t>MANAGER</w:t>
      </w:r>
      <w:r>
        <w:rPr>
          <w:spacing w:val="47"/>
          <w:w w:val="110"/>
        </w:rPr>
        <w:t> </w:t>
      </w:r>
      <w:r>
        <w:rPr>
          <w:w w:val="110"/>
        </w:rPr>
        <w:t>(FINTECH)</w:t>
      </w:r>
      <w:r>
        <w:rPr>
          <w:spacing w:val="56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10"/>
          <w:position w:val="1"/>
        </w:rPr>
        <w:t> </w:t>
      </w:r>
      <w:r>
        <w:rPr>
          <w:w w:val="110"/>
        </w:rPr>
        <w:t>PAYSECURE</w:t>
      </w:r>
      <w:r>
        <w:rPr>
          <w:spacing w:val="37"/>
          <w:w w:val="110"/>
        </w:rPr>
        <w:t> </w:t>
      </w:r>
      <w:r>
        <w:rPr>
          <w:spacing w:val="-2"/>
          <w:w w:val="110"/>
        </w:rPr>
        <w:t>TECHNOLOGIES</w:t>
      </w:r>
    </w:p>
    <w:p>
      <w:pPr>
        <w:pStyle w:val="BodyText"/>
        <w:spacing w:line="259" w:lineRule="auto" w:before="23"/>
        <w:ind w:left="225" w:right="4394"/>
      </w:pPr>
      <w:r>
        <w:rPr>
          <w:w w:val="85"/>
        </w:rPr>
        <w:t>| </w:t>
      </w:r>
      <w:r>
        <w:rPr>
          <w:w w:val="115"/>
        </w:rPr>
        <w:t>SAN FRANCISCO, CA JUNE 2018 </w:t>
      </w:r>
      <w:r>
        <w:rPr>
          <w:w w:val="130"/>
        </w:rPr>
        <w:t>–</w:t>
      </w:r>
      <w:r>
        <w:rPr>
          <w:spacing w:val="-7"/>
          <w:w w:val="130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580" w:bottom="280" w:left="425" w:right="708"/>
          <w:cols w:num="2" w:equalWidth="0">
            <w:col w:w="2044" w:space="1713"/>
            <w:col w:w="7030"/>
          </w:cols>
        </w:sectPr>
      </w:pPr>
    </w:p>
    <w:p>
      <w:pPr>
        <w:pStyle w:val="BodyText"/>
        <w:spacing w:before="6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1"/>
        <w:spacing w:before="0"/>
      </w:pPr>
      <w:r>
        <w:rPr>
          <w:color w:val="49443D"/>
          <w:spacing w:val="-2"/>
        </w:rPr>
        <w:t>KEY</w:t>
      </w:r>
      <w:r>
        <w:rPr>
          <w:color w:val="49443D"/>
          <w:spacing w:val="-15"/>
        </w:rPr>
        <w:t> </w:t>
      </w:r>
      <w:r>
        <w:rPr>
          <w:color w:val="49443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4" w:lineRule="auto" w:before="135" w:after="0"/>
        <w:ind w:left="300" w:right="241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Increased customer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retention 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30% through targeted engagement in digital banking platforms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59" w:after="0"/>
        <w:ind w:left="300" w:right="96" w:hanging="298"/>
        <w:jc w:val="left"/>
        <w:rPr>
          <w:sz w:val="18"/>
        </w:rPr>
      </w:pPr>
      <w:r>
        <w:rPr>
          <w:w w:val="105"/>
          <w:sz w:val="18"/>
        </w:rPr>
        <w:t>Provided compliance training to clients, reducing regulatory issues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40" w:after="0"/>
        <w:ind w:left="300" w:right="184" w:hanging="298"/>
        <w:jc w:val="left"/>
        <w:rPr>
          <w:sz w:val="18"/>
        </w:rPr>
      </w:pPr>
      <w:r>
        <w:rPr>
          <w:w w:val="105"/>
          <w:sz w:val="18"/>
        </w:rPr>
        <w:t>Developed success plans for high-value fintech clients, resulting in a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25% revenue increase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589" w:space="1614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34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1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Digital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banking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solutions</w:t>
      </w:r>
    </w:p>
    <w:p>
      <w:pPr>
        <w:pStyle w:val="BodyText"/>
        <w:spacing w:line="266" w:lineRule="auto" w:before="164"/>
        <w:ind w:left="114" w:right="137"/>
      </w:pPr>
      <w:r>
        <w:rPr/>
        <w:br w:type="column"/>
      </w:r>
      <w:r>
        <w:rPr>
          <w:w w:val="110"/>
        </w:rPr>
        <w:t>CUSTOMER</w:t>
      </w:r>
      <w:r>
        <w:rPr>
          <w:spacing w:val="38"/>
          <w:w w:val="110"/>
        </w:rPr>
        <w:t> </w:t>
      </w:r>
      <w:r>
        <w:rPr>
          <w:w w:val="110"/>
        </w:rPr>
        <w:t>SUPPORT</w:t>
      </w:r>
      <w:r>
        <w:rPr>
          <w:spacing w:val="29"/>
          <w:w w:val="110"/>
        </w:rPr>
        <w:t> </w:t>
      </w:r>
      <w:r>
        <w:rPr>
          <w:w w:val="110"/>
        </w:rPr>
        <w:t>LEAD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FINTECH</w:t>
      </w:r>
      <w:r>
        <w:rPr>
          <w:spacing w:val="38"/>
          <w:w w:val="110"/>
        </w:rPr>
        <w:t> </w:t>
      </w:r>
      <w:r>
        <w:rPr>
          <w:w w:val="110"/>
        </w:rPr>
        <w:t>SOLUTIONS</w:t>
      </w:r>
      <w:r>
        <w:rPr>
          <w:spacing w:val="38"/>
          <w:w w:val="110"/>
        </w:rPr>
        <w:t>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SAN</w:t>
      </w:r>
      <w:r>
        <w:rPr>
          <w:spacing w:val="38"/>
          <w:w w:val="110"/>
        </w:rPr>
        <w:t> </w:t>
      </w:r>
      <w:r>
        <w:rPr>
          <w:w w:val="110"/>
        </w:rPr>
        <w:t>FRANCISCO,</w:t>
      </w:r>
      <w:r>
        <w:rPr>
          <w:spacing w:val="38"/>
          <w:w w:val="110"/>
        </w:rPr>
        <w:t> </w:t>
      </w:r>
      <w:r>
        <w:rPr>
          <w:w w:val="110"/>
        </w:rPr>
        <w:t>CA AUGUST 2015 </w:t>
      </w:r>
      <w:r>
        <w:rPr>
          <w:w w:val="130"/>
        </w:rPr>
        <w:t>– </w:t>
      </w:r>
      <w:r>
        <w:rPr>
          <w:w w:val="110"/>
        </w:rPr>
        <w:t>MAY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708"/>
          <w:cols w:num="2" w:equalWidth="0">
            <w:col w:w="3120" w:space="749"/>
            <w:col w:w="6918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4" w:lineRule="auto" w:before="35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Risk assessment and fraud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4" w:lineRule="auto" w:before="74" w:after="0"/>
        <w:ind w:left="411" w:right="513" w:hanging="298"/>
        <w:jc w:val="left"/>
        <w:rPr>
          <w:sz w:val="18"/>
        </w:rPr>
      </w:pPr>
      <w:r>
        <w:rPr>
          <w:w w:val="110"/>
          <w:sz w:val="18"/>
        </w:rPr>
        <w:t>SaaS onboarding and </w:t>
      </w:r>
      <w:r>
        <w:rPr>
          <w:spacing w:val="-2"/>
          <w:w w:val="110"/>
          <w:sz w:val="18"/>
        </w:rPr>
        <w:t>adoption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59" w:after="0"/>
        <w:ind w:left="411" w:right="807" w:hanging="298"/>
        <w:jc w:val="left"/>
        <w:rPr>
          <w:sz w:val="18"/>
        </w:rPr>
      </w:pPr>
      <w:r>
        <w:rPr>
          <w:w w:val="105"/>
          <w:sz w:val="18"/>
        </w:rPr>
        <w:t>Client relationship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4" w:lineRule="auto" w:before="65" w:after="0"/>
        <w:ind w:left="411" w:right="3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client accounts, ensuring adherence to financial security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58" w:after="0"/>
        <w:ind w:left="411" w:right="823" w:hanging="298"/>
        <w:jc w:val="left"/>
        <w:rPr>
          <w:sz w:val="18"/>
        </w:rPr>
      </w:pPr>
      <w:r>
        <w:rPr>
          <w:w w:val="105"/>
          <w:sz w:val="18"/>
        </w:rPr>
        <w:t>Assisted in the implementation of fraud prevention measures, reducing chargebacks by 20%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831" w:space="1261"/>
            <w:col w:w="6695"/>
          </w:cols>
        </w:sectPr>
      </w:pPr>
    </w:p>
    <w:p>
      <w:pPr>
        <w:pStyle w:val="Heading1"/>
        <w:spacing w:before="2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705724"/>
                            <a:ext cx="2476500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000375">
                                <a:moveTo>
                                  <a:pt x="0" y="3000374"/>
                                </a:moveTo>
                                <a:lnTo>
                                  <a:pt x="2476499" y="30003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705724"/>
                            <a:ext cx="9525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00375">
                                <a:moveTo>
                                  <a:pt x="0" y="3000374"/>
                                </a:moveTo>
                                <a:lnTo>
                                  <a:pt x="9524" y="30003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86400">
                                <a:moveTo>
                                  <a:pt x="952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86400">
                                <a:moveTo>
                                  <a:pt x="246697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4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76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4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43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4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19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2135;width:3900;height:4725" id="docshape2" filled="true" fillcolor="#49443d" stroked="false">
                  <v:fill opacity="32899f" type="solid"/>
                </v:rect>
                <v:rect style="position:absolute;left:3885;top:12135;width:15;height:4725" id="docshape3" filled="true" fillcolor="#000000" stroked="false">
                  <v:fill type="solid"/>
                </v:rect>
                <v:rect style="position:absolute;left:0;top:0;width:11919;height:3495" id="docshape4" filled="true" fillcolor="#49443d" stroked="false">
                  <v:fill type="solid"/>
                </v:rect>
                <v:rect style="position:absolute;left:3885;top:3495;width:15;height:8640" id="docshape5" filled="true" fillcolor="#000000" stroked="false">
                  <v:fill type="solid"/>
                </v:rect>
                <v:rect style="position:absolute;left:0;top:3495;width:3885;height:8640" id="docshape6" filled="true" fillcolor="#49443d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49443d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49443d">
                  <v:path arrowok="t"/>
                  <v:stroke dashstyle="solid"/>
                </v:shape>
                <v:shape style="position:absolute;left:675;top:4845;width:261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49443d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49443d">
                  <v:path arrowok="t"/>
                  <v:stroke dashstyle="solid"/>
                </v:shape>
                <v:shape style="position:absolute;left:692;top:5580;width:226;height:261" type="#_x0000_t75" id="docshape12" stroked="false">
                  <v:imagedata r:id="rId7" o:title=""/>
                </v:shape>
                <v:shape style="position:absolute;left:562;top:6202;width:495;height:495" id="docshape13" coordorigin="562,6202" coordsize="495,495" path="m810,6697l750,6690,693,6668,644,6633,604,6588,577,6534,564,6475,562,6450,563,6438,573,6378,598,6323,635,6275,683,6238,738,6213,798,6203,810,6202,822,6203,882,6213,937,6238,985,6275,1022,6323,1047,6378,1057,6438,1057,6450,1057,6462,1047,6522,1022,6577,985,6625,937,6662,882,6687,822,6697,810,6697xe" filled="true" fillcolor="#49443d" stroked="false">
                  <v:path arrowok="t"/>
                  <v:fill type="solid"/>
                </v:shape>
                <v:shape style="position:absolute;left:562;top:6202;width:495;height:495" id="docshape14" coordorigin="562,6202" coordsize="495,495" path="m562,6450l562,6450,563,6438,573,6378,598,6323,635,6275,683,6238,738,6213,798,6203,810,6202,810,6202,870,6210,927,6232,976,6267,1016,6312,1043,6366,1056,6425,1057,6450,1057,6450,1050,6510,1028,6567,993,6616,948,6656,894,6683,835,6696,810,6697,810,6697,750,6690,693,6668,644,6633,604,6588,577,6534,564,6475,562,6450xe" filled="false" stroked="true" strokeweight="2.25pt" strokecolor="#49443d">
                  <v:path arrowok="t"/>
                  <v:stroke dashstyle="solid"/>
                </v:shape>
                <v:shape style="position:absolute;left:675;top:63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9443D"/>
          <w:spacing w:val="-2"/>
        </w:rPr>
        <w:t>EDUCATION</w:t>
      </w:r>
    </w:p>
    <w:p>
      <w:pPr>
        <w:pStyle w:val="BodyText"/>
        <w:spacing w:line="266" w:lineRule="auto" w:before="226"/>
        <w:ind w:left="114" w:right="7419"/>
      </w:pPr>
      <w:r>
        <w:rPr/>
        <w:t>Bachelor of Science in Finance</w:t>
      </w:r>
      <w:r>
        <w:rPr>
          <w:spacing w:val="80"/>
        </w:rPr>
        <w:t> </w:t>
      </w:r>
      <w:r>
        <w:rPr/>
        <w:t>University of California, Berkeley </w:t>
      </w:r>
      <w:r>
        <w:rPr>
          <w:w w:val="85"/>
        </w:rPr>
        <w:t>| </w:t>
      </w:r>
      <w:r>
        <w:rPr/>
        <w:t>Berkeley, CA </w:t>
      </w:r>
      <w:r>
        <w:rPr>
          <w:w w:val="85"/>
        </w:rPr>
        <w:t>| </w:t>
      </w:r>
      <w:r>
        <w:rPr/>
        <w:t>2015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2026-02-15T13:46:43Z</dcterms:created>
  <dcterms:modified xsi:type="dcterms:W3CDTF">2026-02-15T13:46:43Z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