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Skyler</w:t>
      </w:r>
      <w:r>
        <w:rPr>
          <w:color w:val="FFFFFF"/>
          <w:spacing w:val="37"/>
          <w:w w:val="130"/>
        </w:rPr>
        <w:t> </w:t>
      </w:r>
      <w:r>
        <w:rPr>
          <w:color w:val="FFFFFF"/>
          <w:spacing w:val="7"/>
          <w:w w:val="130"/>
        </w:rPr>
        <w:t>Lewis</w:t>
      </w:r>
    </w:p>
    <w:p>
      <w:pPr>
        <w:pStyle w:val="Heading2"/>
        <w:spacing w:before="85"/>
        <w:ind w:left="3772"/>
      </w:pPr>
      <w:r>
        <w:rPr>
          <w:color w:val="FFFFFF"/>
          <w:w w:val="130"/>
        </w:rPr>
        <w:t>Litigation</w:t>
      </w:r>
      <w:r>
        <w:rPr>
          <w:color w:val="FFFFFF"/>
          <w:spacing w:val="55"/>
          <w:w w:val="130"/>
        </w:rPr>
        <w:t> </w:t>
      </w:r>
      <w:r>
        <w:rPr>
          <w:color w:val="FFFFFF"/>
          <w:spacing w:val="-2"/>
          <w:w w:val="130"/>
        </w:rPr>
        <w:t>Lawyer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ind w:left="4246" w:right="152"/>
        <w:jc w:val="center"/>
      </w:pPr>
      <w:r>
        <w:rPr>
          <w:w w:val="105"/>
        </w:rPr>
        <w:t>Trial-tested</w:t>
      </w:r>
      <w:r>
        <w:rPr>
          <w:spacing w:val="7"/>
          <w:w w:val="105"/>
        </w:rPr>
        <w:t> </w:t>
      </w:r>
      <w:r>
        <w:rPr>
          <w:w w:val="105"/>
        </w:rPr>
        <w:t>litigation</w:t>
      </w:r>
      <w:r>
        <w:rPr>
          <w:spacing w:val="7"/>
          <w:w w:val="105"/>
        </w:rPr>
        <w:t> </w:t>
      </w:r>
      <w:r>
        <w:rPr>
          <w:w w:val="105"/>
        </w:rPr>
        <w:t>attorney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7"/>
          <w:w w:val="105"/>
        </w:rPr>
        <w:t> </w:t>
      </w:r>
      <w:r>
        <w:rPr>
          <w:w w:val="105"/>
        </w:rPr>
        <w:t>courtroom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2" w:lineRule="auto" w:before="166"/>
        <w:ind w:left="4246" w:right="150"/>
        <w:jc w:val="center"/>
      </w:pPr>
      <w:r>
        <w:rPr/>
        <w:t>Litigator</w:t>
      </w:r>
      <w:r>
        <w:rPr>
          <w:spacing w:val="33"/>
        </w:rPr>
        <w:t> </w:t>
      </w:r>
      <w:r>
        <w:rPr/>
        <w:t>with</w:t>
      </w:r>
      <w:r>
        <w:rPr>
          <w:spacing w:val="40"/>
        </w:rPr>
        <w:t> </w:t>
      </w:r>
      <w:r>
        <w:rPr/>
        <w:t>10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civil</w:t>
      </w:r>
      <w:r>
        <w:rPr>
          <w:spacing w:val="38"/>
        </w:rPr>
        <w:t> </w:t>
      </w:r>
      <w:r>
        <w:rPr/>
        <w:t>cases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/>
        <w:t>investigation</w:t>
      </w:r>
      <w:r>
        <w:rPr>
          <w:spacing w:val="40"/>
        </w:rPr>
        <w:t> </w:t>
      </w:r>
      <w:r>
        <w:rPr/>
        <w:t>to trial.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depositions,</w:t>
      </w:r>
      <w:r>
        <w:rPr>
          <w:spacing w:val="40"/>
        </w:rPr>
        <w:t> </w:t>
      </w:r>
      <w:r>
        <w:rPr/>
        <w:t>settlement</w:t>
      </w:r>
      <w:r>
        <w:rPr>
          <w:spacing w:val="40"/>
        </w:rPr>
        <w:t> </w:t>
      </w:r>
      <w:r>
        <w:rPr/>
        <w:t>negotiations,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courtroom</w:t>
      </w:r>
      <w:r>
        <w:rPr>
          <w:spacing w:val="40"/>
        </w:rPr>
        <w:t> </w:t>
      </w:r>
      <w:r>
        <w:rPr/>
        <w:t>presentations.</w:t>
      </w:r>
      <w:r>
        <w:rPr>
          <w:spacing w:val="49"/>
        </w:rPr>
        <w:t> </w:t>
      </w:r>
      <w:r>
        <w:rPr/>
        <w:t>Recognized</w:t>
      </w:r>
      <w:r>
        <w:rPr>
          <w:spacing w:val="49"/>
        </w:rPr>
        <w:t> </w:t>
      </w:r>
      <w:r>
        <w:rPr/>
        <w:t>for</w:t>
      </w:r>
      <w:r>
        <w:rPr>
          <w:spacing w:val="40"/>
        </w:rPr>
        <w:t> </w:t>
      </w:r>
      <w:r>
        <w:rPr/>
        <w:t>high</w:t>
      </w:r>
      <w:r>
        <w:rPr>
          <w:spacing w:val="39"/>
        </w:rPr>
        <w:t> </w:t>
      </w:r>
      <w:r>
        <w:rPr/>
        <w:t>win</w:t>
      </w:r>
      <w:r>
        <w:rPr>
          <w:spacing w:val="49"/>
        </w:rPr>
        <w:t> </w:t>
      </w:r>
      <w:r>
        <w:rPr/>
        <w:t>rates</w:t>
      </w:r>
      <w:r>
        <w:rPr>
          <w:spacing w:val="49"/>
        </w:rPr>
        <w:t> </w:t>
      </w:r>
      <w:r>
        <w:rPr/>
        <w:t>and</w:t>
      </w:r>
      <w:r>
        <w:rPr>
          <w:spacing w:val="49"/>
        </w:rPr>
        <w:t> </w:t>
      </w:r>
      <w:r>
        <w:rPr/>
        <w:t>persuasive</w:t>
      </w:r>
      <w:r>
        <w:rPr>
          <w:spacing w:val="49"/>
        </w:rPr>
        <w:t> </w:t>
      </w:r>
      <w:r>
        <w:rPr/>
        <w:t>arguments.</w:t>
      </w: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2"/>
      </w:pPr>
      <w:r>
        <w:rPr>
          <w:color w:val="F98B78"/>
          <w:spacing w:val="2"/>
          <w:w w:val="130"/>
        </w:rPr>
        <w:t>PERSONAL</w:t>
      </w:r>
      <w:r>
        <w:rPr>
          <w:color w:val="F98B78"/>
          <w:spacing w:val="53"/>
          <w:w w:val="130"/>
        </w:rPr>
        <w:t> </w:t>
      </w:r>
      <w:r>
        <w:rPr>
          <w:color w:val="F98B78"/>
          <w:spacing w:val="-2"/>
          <w:w w:val="130"/>
        </w:rPr>
        <w:t>INFORMATION</w:t>
      </w:r>
    </w:p>
    <w:p>
      <w:pPr>
        <w:pStyle w:val="BodyText"/>
        <w:spacing w:before="148"/>
        <w:rPr>
          <w:rFonts w:ascii="Calibri"/>
          <w:b/>
        </w:rPr>
      </w:pPr>
    </w:p>
    <w:p>
      <w:pPr>
        <w:pStyle w:val="BodyText"/>
        <w:spacing w:line="516" w:lineRule="auto"/>
        <w:ind w:left="647"/>
      </w:pPr>
      <w:hyperlink r:id="rId5">
        <w:r>
          <w:rPr>
            <w:spacing w:val="-2"/>
            <w:w w:val="105"/>
          </w:rPr>
          <w:t>skyler.lewis@email.com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2"/>
        <w:spacing w:before="164"/>
      </w:pPr>
      <w:r>
        <w:rPr>
          <w:color w:val="F98B78"/>
          <w:w w:val="140"/>
        </w:rPr>
        <w:t>KEY</w:t>
      </w:r>
      <w:r>
        <w:rPr>
          <w:color w:val="F98B78"/>
          <w:spacing w:val="3"/>
          <w:w w:val="140"/>
        </w:rPr>
        <w:t> </w:t>
      </w:r>
      <w:r>
        <w:rPr>
          <w:color w:val="F98B78"/>
          <w:spacing w:val="-2"/>
          <w:w w:val="140"/>
        </w:rPr>
        <w:t>SKILLS</w:t>
      </w:r>
    </w:p>
    <w:p>
      <w:pPr>
        <w:pStyle w:val="BodyText"/>
        <w:spacing w:before="103"/>
        <w:rPr>
          <w:rFonts w:ascii="Calibri"/>
          <w:b/>
        </w:rPr>
      </w:pPr>
    </w:p>
    <w:p>
      <w:pPr>
        <w:pStyle w:val="BodyText"/>
        <w:spacing w:line="396" w:lineRule="auto"/>
        <w:ind w:left="424" w:right="1116"/>
      </w:pPr>
      <w:r>
        <w:rPr/>
        <w:t>Civil </w:t>
      </w:r>
      <w:r>
        <w:rPr/>
        <w:t>litigation </w:t>
      </w:r>
      <w:r>
        <w:rPr>
          <w:spacing w:val="-2"/>
        </w:rPr>
        <w:t>Depositions </w:t>
      </w:r>
      <w:r>
        <w:rPr/>
        <w:t>Trial strategy</w:t>
      </w:r>
    </w:p>
    <w:p>
      <w:pPr>
        <w:pStyle w:val="BodyText"/>
        <w:spacing w:line="396" w:lineRule="auto" w:before="1"/>
        <w:ind w:left="424" w:right="284"/>
      </w:pPr>
      <w:r>
        <w:rPr>
          <w:w w:val="105"/>
        </w:rPr>
        <w:t>Case </w:t>
      </w:r>
      <w:r>
        <w:rPr>
          <w:w w:val="105"/>
        </w:rPr>
        <w:t>investigation Motion practice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color w:val="F98B78"/>
          <w:w w:val="135"/>
        </w:rPr>
        <w:t>PROFESSIONAL</w:t>
      </w:r>
      <w:r>
        <w:rPr>
          <w:color w:val="F98B78"/>
          <w:spacing w:val="40"/>
          <w:w w:val="135"/>
        </w:rPr>
        <w:t> </w:t>
      </w:r>
      <w:r>
        <w:rPr>
          <w:color w:val="F98B78"/>
          <w:spacing w:val="-2"/>
          <w:w w:val="135"/>
        </w:rPr>
        <w:t>EXPERIENCE</w:t>
      </w:r>
    </w:p>
    <w:p>
      <w:pPr>
        <w:pStyle w:val="BodyText"/>
        <w:spacing w:line="292" w:lineRule="auto" w:before="203"/>
        <w:ind w:left="684" w:right="1190"/>
      </w:pPr>
      <w:r>
        <w:rPr/>
        <w:t>Senior</w:t>
      </w:r>
      <w:r>
        <w:rPr>
          <w:spacing w:val="36"/>
        </w:rPr>
        <w:t> </w:t>
      </w:r>
      <w:r>
        <w:rPr/>
        <w:t>Litigation</w:t>
      </w:r>
      <w:r>
        <w:rPr>
          <w:spacing w:val="34"/>
        </w:rPr>
        <w:t> </w:t>
      </w:r>
      <w:r>
        <w:rPr/>
        <w:t>Attorney,</w:t>
      </w:r>
      <w:r>
        <w:rPr>
          <w:spacing w:val="40"/>
        </w:rPr>
        <w:t> </w:t>
      </w:r>
      <w:r>
        <w:rPr/>
        <w:t>Davis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Rhodes</w:t>
      </w:r>
      <w:r>
        <w:rPr>
          <w:spacing w:val="40"/>
        </w:rPr>
        <w:t> </w:t>
      </w:r>
      <w:r>
        <w:rPr/>
        <w:t>LLP,</w:t>
      </w:r>
      <w:r>
        <w:rPr>
          <w:spacing w:val="40"/>
        </w:rPr>
        <w:t> </w:t>
      </w:r>
      <w:r>
        <w:rPr/>
        <w:t>Miami,</w:t>
      </w:r>
      <w:r>
        <w:rPr>
          <w:spacing w:val="40"/>
        </w:rPr>
        <w:t> </w:t>
      </w:r>
      <w:r>
        <w:rPr/>
        <w:t>FL </w:t>
      </w:r>
      <w:r>
        <w:rPr>
          <w:w w:val="110"/>
        </w:rPr>
        <w:t>April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/>
      </w:pPr>
      <w:r>
        <w:rPr>
          <w:w w:val="105"/>
        </w:rPr>
        <w:t>Handle 40+ active cases across personal injury, real estate, and commercial</w:t>
      </w:r>
      <w:r>
        <w:rPr>
          <w:spacing w:val="-1"/>
          <w:w w:val="105"/>
        </w:rPr>
        <w:t> </w:t>
      </w:r>
      <w:r>
        <w:rPr>
          <w:w w:val="105"/>
        </w:rPr>
        <w:t>disputes</w:t>
      </w:r>
    </w:p>
    <w:p>
      <w:pPr>
        <w:pStyle w:val="BodyText"/>
        <w:spacing w:line="292" w:lineRule="auto" w:before="90"/>
        <w:ind w:left="963" w:right="500"/>
      </w:pPr>
      <w:r>
        <w:rPr>
          <w:w w:val="105"/>
        </w:rPr>
        <w:t>Conduct depositions and trials with a success rate of 85% for defense</w:t>
      </w:r>
      <w:r>
        <w:rPr>
          <w:spacing w:val="-1"/>
          <w:w w:val="105"/>
        </w:rPr>
        <w:t> </w:t>
      </w:r>
      <w:r>
        <w:rPr>
          <w:w w:val="105"/>
        </w:rPr>
        <w:t>verdicts</w:t>
      </w:r>
    </w:p>
    <w:p>
      <w:pPr>
        <w:pStyle w:val="BodyText"/>
        <w:spacing w:line="292" w:lineRule="auto" w:before="90"/>
        <w:ind w:left="963" w:right="569"/>
      </w:pPr>
      <w:r>
        <w:rPr>
          <w:w w:val="105"/>
        </w:rPr>
        <w:t>Mentor junior attorneys and develop trial prep materials for firm-wide use</w:t>
      </w:r>
    </w:p>
    <w:p>
      <w:pPr>
        <w:pStyle w:val="BodyText"/>
        <w:spacing w:line="276" w:lineRule="auto" w:before="195"/>
        <w:ind w:left="684" w:right="1946"/>
      </w:pPr>
      <w:r>
        <w:rPr/>
        <w:t>Associate Attorney, Foster &amp; Klein, Miami, FL</w:t>
      </w:r>
      <w:r>
        <w:rPr>
          <w:spacing w:val="40"/>
          <w:w w:val="110"/>
        </w:rPr>
        <w:t> </w:t>
      </w:r>
      <w:r>
        <w:rPr>
          <w:w w:val="110"/>
        </w:rPr>
        <w:t>September 2013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March 2017</w:t>
      </w:r>
    </w:p>
    <w:p>
      <w:pPr>
        <w:pStyle w:val="BodyText"/>
      </w:pPr>
    </w:p>
    <w:p>
      <w:pPr>
        <w:pStyle w:val="BodyText"/>
        <w:spacing w:line="292" w:lineRule="auto" w:before="1"/>
        <w:ind w:left="963" w:right="500"/>
      </w:pPr>
      <w:r>
        <w:rPr>
          <w:w w:val="105"/>
        </w:rPr>
        <w:t>Drafted and argued motions, handled discovery, and conducted</w:t>
      </w:r>
      <w:r>
        <w:rPr>
          <w:spacing w:val="40"/>
          <w:w w:val="105"/>
        </w:rPr>
        <w:t> </w:t>
      </w:r>
      <w:r>
        <w:rPr>
          <w:w w:val="105"/>
        </w:rPr>
        <w:t>client interviews for multi-party cases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800" w:bottom="280" w:left="283" w:right="283"/>
          <w:cols w:num="2" w:equalWidth="0">
            <w:col w:w="2792" w:space="1319"/>
            <w:col w:w="7243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371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2790812"/>
                                </a:moveTo>
                                <a:lnTo>
                                  <a:pt x="0" y="2790812"/>
                                </a:lnTo>
                                <a:lnTo>
                                  <a:pt x="0" y="4067162"/>
                                </a:lnTo>
                                <a:lnTo>
                                  <a:pt x="2581262" y="4067162"/>
                                </a:lnTo>
                                <a:lnTo>
                                  <a:pt x="2581262" y="2790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495537"/>
                                </a:lnTo>
                                <a:lnTo>
                                  <a:pt x="2581262" y="24955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533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528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1528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438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4619624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7245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7245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6019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38462" y="3209924"/>
                            <a:ext cx="21907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240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1907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1240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0;top:2610;width:4065;height:14250" id="docshape2" coordorigin="0,2610" coordsize="4065,14250" path="m4065,9495l0,9495,0,16860,4065,16860,4065,9495xm4065,7005l0,7005,0,9015,4065,9015,4065,7005xm4065,5355l0,5355,0,6540,4065,65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98b78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25;top:5565;width:275;height:317" type="#_x0000_t75" id="docshape9" stroked="false">
                  <v:imagedata r:id="rId7" o:title=""/>
                </v:shape>
                <v:shape style="position:absolute;left:406;top:6015;width:315;height:317" type="#_x0000_t75" id="docshape10" stroked="false">
                  <v:imagedata r:id="rId8" o:title=""/>
                </v:shape>
                <v:rect style="position:absolute;left:0;top:6540;width:4245;height:465" id="docshape11" filled="true" fillcolor="#f2f2f2" stroked="false">
                  <v:fill type="solid"/>
                </v:rect>
                <v:shape style="position:absolute;left:0;top:6540;width:4245;height:465" id="docshape12" coordorigin="0,6540" coordsize="4245,465" path="m4245,6540l4230,6540,0,6540,0,6555,4230,6555,4230,6990,0,6990,0,7005,4230,7005,4245,7005,4245,6540xe" filled="true" fillcolor="#000000" stroked="false">
                  <v:path arrowok="t"/>
                  <v:fill opacity="16960f" type="solid"/>
                </v:shape>
                <v:shape style="position:absolute;left:4065;top:6990;width:180;height:315" id="docshape13" coordorigin="4065,6990" coordsize="180,315" path="m4065,7305l4065,6990,4245,6990,4065,7305xe" filled="true" fillcolor="#999999" stroked="false">
                  <v:path arrowok="t"/>
                  <v:fill type="solid"/>
                </v:shape>
                <v:shape style="position:absolute;left:404;top:7275;width:75;height:1470" id="docshape14" coordorigin="405,7275" coordsize="75,1470" path="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7997l479,7992,475,7983,473,7979,466,7972,462,7970,453,7966,448,7965,437,7965,432,7966,423,7970,419,7972,412,7979,410,7983,406,7992,405,7997,405,8003,405,8008,406,8013,410,8022,412,8026,419,8033,423,8035,432,8039,437,8040,448,8040,453,8039,462,8035,466,8033,473,8026,475,8022,479,8013,480,8008,480,7997xm480,7652l479,7647,475,7638,473,7634,466,7627,462,7625,453,7621,448,7620,437,7620,432,7621,423,7625,419,7627,412,7634,410,7638,406,7647,405,7652,405,7658,405,7663,406,7668,410,7677,412,7681,419,7688,423,7690,432,7694,437,7695,448,7695,453,7694,462,7690,466,7688,473,7681,475,7677,479,7668,480,7663,480,765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e" filled="true" fillcolor="#000000" stroked="false">
                  <v:path arrowok="t"/>
                  <v:fill type="solid"/>
                </v:shape>
                <v:rect style="position:absolute;left:0;top:9015;width:4245;height:480" id="docshape15" filled="true" fillcolor="#f2f2f2" stroked="false">
                  <v:fill type="solid"/>
                </v:rect>
                <v:shape style="position:absolute;left:0;top:9015;width:4245;height:480" id="docshape16" coordorigin="0,9015" coordsize="4245,480" path="m4245,9015l4230,9015,0,9015,0,9030,4230,9030,4230,9480,0,9480,0,9495,4230,9495,4245,9495,4245,9015xe" filled="true" fillcolor="#000000" stroked="false">
                  <v:path arrowok="t"/>
                  <v:fill opacity="16960f" type="solid"/>
                </v:shape>
                <v:shape style="position:absolute;left:4065;top:9480;width:180;height:315" id="docshape17" coordorigin="4065,9480" coordsize="180,315" path="m4065,9795l4065,9480,4245,9480,4065,9795xe" filled="true" fillcolor="#999999" stroked="false">
                  <v:path arrowok="t"/>
                  <v:fill type="solid"/>
                </v:shape>
                <v:shape style="position:absolute;left:4784;top:5055;width:345;height:3345" id="docshape18" coordorigin="4785,5055" coordsize="345,3345" path="m4860,7667l4859,7662,4855,7653,4853,7649,4846,7642,4842,7640,4833,7636,4828,7635,4817,7635,4812,7636,4803,7640,4799,7642,4792,7649,4790,7653,4786,7662,4785,7667,4785,7673,4785,7678,4786,7683,4790,7692,4792,7696,4799,7703,4803,7705,4812,7709,4817,7710,4828,7710,4833,7709,4842,7705,4846,7703,4853,7696,4855,7692,4859,7683,4860,7678,4860,7667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F98B78"/>
          <w:spacing w:val="-2"/>
          <w:w w:val="130"/>
        </w:rPr>
        <w:t>EDUCATION</w:t>
      </w:r>
    </w:p>
    <w:p>
      <w:pPr>
        <w:pStyle w:val="BodyText"/>
        <w:spacing w:before="87"/>
        <w:rPr>
          <w:rFonts w:ascii="Calibri"/>
          <w:b/>
        </w:rPr>
      </w:pPr>
    </w:p>
    <w:p>
      <w:pPr>
        <w:pStyle w:val="BodyText"/>
        <w:ind w:left="127"/>
      </w:pPr>
      <w:r>
        <w:rPr/>
        <w:t>Juris</w:t>
      </w:r>
      <w:r>
        <w:rPr>
          <w:spacing w:val="44"/>
        </w:rPr>
        <w:t> </w:t>
      </w:r>
      <w:r>
        <w:rPr/>
        <w:t>Doctor</w:t>
      </w:r>
      <w:r>
        <w:rPr>
          <w:spacing w:val="37"/>
        </w:rPr>
        <w:t> </w:t>
      </w:r>
      <w:r>
        <w:rPr>
          <w:spacing w:val="-2"/>
        </w:rPr>
        <w:t>(J.D.)</w:t>
      </w:r>
    </w:p>
    <w:p>
      <w:pPr>
        <w:pStyle w:val="BodyText"/>
        <w:spacing w:line="292" w:lineRule="auto" w:before="46"/>
        <w:ind w:left="127" w:right="7938"/>
      </w:pPr>
      <w:r>
        <w:rPr/>
        <w:t>University of Florida Levin College of</w:t>
      </w:r>
      <w:r>
        <w:rPr>
          <w:spacing w:val="80"/>
        </w:rPr>
        <w:t> </w:t>
      </w:r>
      <w:r>
        <w:rPr/>
        <w:t>Law </w:t>
      </w:r>
      <w:r>
        <w:rPr>
          <w:w w:val="85"/>
        </w:rPr>
        <w:t>| </w:t>
      </w:r>
      <w:r>
        <w:rPr/>
        <w:t>2013</w:t>
      </w:r>
    </w:p>
    <w:p>
      <w:pPr>
        <w:pStyle w:val="BodyText"/>
        <w:spacing w:line="292" w:lineRule="auto" w:before="181"/>
        <w:ind w:left="127" w:right="7938"/>
      </w:pPr>
      <w:r>
        <w:rPr/>
        <w:t>Bachelor of Arts in Political Science</w:t>
      </w:r>
      <w:r>
        <w:rPr>
          <w:spacing w:val="40"/>
        </w:rPr>
        <w:t> </w:t>
      </w:r>
      <w:r>
        <w:rPr/>
        <w:t>Florida State University </w:t>
      </w:r>
      <w:r>
        <w:rPr>
          <w:w w:val="85"/>
        </w:rPr>
        <w:t>|</w:t>
      </w:r>
      <w:r>
        <w:rPr/>
        <w:t> 2009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3772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2026-02-15T18:29:07Z</dcterms:created>
  <dcterms:modified xsi:type="dcterms:W3CDTF">2026-02-15T18:29:07Z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