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964" w:right="253" w:firstLine="0"/>
        <w:jc w:val="center"/>
        <w:rPr>
          <w:sz w:val="74"/>
        </w:rPr>
      </w:pPr>
      <w:r>
        <w:rPr>
          <w:color w:val="533377"/>
          <w:spacing w:val="11"/>
          <w:sz w:val="74"/>
        </w:rPr>
        <w:t>Rachel</w:t>
      </w:r>
      <w:r>
        <w:rPr>
          <w:color w:val="533377"/>
          <w:spacing w:val="34"/>
          <w:sz w:val="74"/>
        </w:rPr>
        <w:t> </w:t>
      </w:r>
      <w:r>
        <w:rPr>
          <w:color w:val="533377"/>
          <w:spacing w:val="10"/>
          <w:sz w:val="74"/>
        </w:rPr>
        <w:t>Simmons</w:t>
      </w:r>
    </w:p>
    <w:p>
      <w:pPr>
        <w:pStyle w:val="BodyText"/>
        <w:spacing w:before="199"/>
        <w:ind w:left="3964" w:right="242"/>
        <w:jc w:val="center"/>
      </w:pPr>
      <w:r>
        <w:rPr>
          <w:w w:val="105"/>
        </w:rPr>
        <w:t>Audit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Accountant</w:t>
      </w:r>
    </w:p>
    <w:p>
      <w:pPr>
        <w:spacing w:before="172"/>
        <w:ind w:left="3964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Audit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accountant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specializing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financial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compliance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risk</w:t>
      </w:r>
      <w:r>
        <w:rPr>
          <w:b/>
          <w:spacing w:val="18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assessment</w:t>
      </w:r>
    </w:p>
    <w:p>
      <w:pPr>
        <w:spacing w:line="273" w:lineRule="auto" w:before="131"/>
        <w:ind w:left="4251" w:right="284" w:hanging="1"/>
        <w:jc w:val="center"/>
        <w:rPr>
          <w:sz w:val="16"/>
        </w:rPr>
      </w:pPr>
      <w:r>
        <w:rPr>
          <w:w w:val="105"/>
          <w:sz w:val="16"/>
        </w:rPr>
        <w:t>Audit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accountant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nine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conducting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audits,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internal controls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testing,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risk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assessments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sector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clients.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 evaluating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statements,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regulatory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compliance,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identifying inefficiencies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accounting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processes.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Adept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working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executive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auditors to improve financial transparency.</w:t>
      </w:r>
    </w:p>
    <w:p>
      <w:pPr>
        <w:pStyle w:val="BodyText"/>
        <w:rPr>
          <w:sz w:val="20"/>
        </w:rPr>
      </w:pPr>
    </w:p>
    <w:p>
      <w:pPr>
        <w:pStyle w:val="BodyText"/>
        <w:spacing w:before="2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283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34"/>
        <w:rPr>
          <w:sz w:val="24"/>
        </w:rPr>
      </w:pPr>
    </w:p>
    <w:p>
      <w:pPr>
        <w:pStyle w:val="Heading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spacing w:before="61"/>
        <w:ind w:left="15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533377"/>
          <w:sz w:val="24"/>
        </w:rPr>
        <w:t>PROFESSIONAL</w:t>
      </w:r>
      <w:r>
        <w:rPr>
          <w:b/>
          <w:color w:val="533377"/>
          <w:spacing w:val="36"/>
          <w:sz w:val="24"/>
        </w:rPr>
        <w:t> </w:t>
      </w:r>
      <w:r>
        <w:rPr>
          <w:b/>
          <w:color w:val="533377"/>
          <w:spacing w:val="-2"/>
          <w:sz w:val="24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2018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</w:pPr>
      <w:r>
        <w:rPr>
          <w:w w:val="105"/>
        </w:rPr>
        <w:t>Audit</w:t>
      </w:r>
      <w:r>
        <w:rPr>
          <w:spacing w:val="3"/>
          <w:w w:val="105"/>
        </w:rPr>
        <w:t> </w:t>
      </w:r>
      <w:r>
        <w:rPr>
          <w:w w:val="105"/>
        </w:rPr>
        <w:t>Accountant,</w:t>
      </w:r>
      <w:r>
        <w:rPr>
          <w:spacing w:val="12"/>
          <w:w w:val="105"/>
        </w:rPr>
        <w:t> </w:t>
      </w:r>
      <w:r>
        <w:rPr>
          <w:w w:val="105"/>
        </w:rPr>
        <w:t>Bay</w:t>
      </w:r>
      <w:r>
        <w:rPr>
          <w:spacing w:val="4"/>
          <w:w w:val="105"/>
        </w:rPr>
        <w:t> </w:t>
      </w:r>
      <w:r>
        <w:rPr>
          <w:w w:val="105"/>
        </w:rPr>
        <w:t>Area</w:t>
      </w:r>
      <w:r>
        <w:rPr>
          <w:spacing w:val="10"/>
          <w:w w:val="105"/>
        </w:rPr>
        <w:t> </w:t>
      </w:r>
      <w:r>
        <w:rPr>
          <w:w w:val="105"/>
        </w:rPr>
        <w:t>Financial</w:t>
      </w:r>
      <w:r>
        <w:rPr>
          <w:spacing w:val="4"/>
          <w:w w:val="105"/>
        </w:rPr>
        <w:t> </w:t>
      </w:r>
      <w:r>
        <w:rPr>
          <w:w w:val="105"/>
        </w:rPr>
        <w:t>Auditors,</w:t>
      </w:r>
      <w:r>
        <w:rPr>
          <w:spacing w:val="11"/>
          <w:w w:val="105"/>
        </w:rPr>
        <w:t> </w:t>
      </w:r>
      <w:r>
        <w:rPr>
          <w:w w:val="105"/>
        </w:rPr>
        <w:t>San</w:t>
      </w:r>
      <w:r>
        <w:rPr>
          <w:spacing w:val="10"/>
          <w:w w:val="105"/>
        </w:rPr>
        <w:t> </w:t>
      </w:r>
      <w:r>
        <w:rPr>
          <w:w w:val="105"/>
        </w:rPr>
        <w:t>Francisco,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Heading2"/>
        <w:spacing w:after="0"/>
        <w:sectPr>
          <w:type w:val="continuous"/>
          <w:pgSz w:w="11920" w:h="16860"/>
          <w:pgMar w:top="980" w:bottom="280" w:left="283" w:right="283"/>
          <w:cols w:num="2" w:equalWidth="0">
            <w:col w:w="3109" w:space="593"/>
            <w:col w:w="7652"/>
          </w:cols>
        </w:sectPr>
      </w:pPr>
    </w:p>
    <w:p>
      <w:pPr>
        <w:pStyle w:val="BodyText"/>
        <w:spacing w:before="168"/>
        <w:ind w:left="81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552700">
                                <a:moveTo>
                                  <a:pt x="0" y="2552699"/>
                                </a:moveTo>
                                <a:lnTo>
                                  <a:pt x="5091683" y="255269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552700">
                                <a:moveTo>
                                  <a:pt x="2476499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552700">
                                <a:moveTo>
                                  <a:pt x="2476499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819235"/>
                            <a:ext cx="2286000" cy="700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7000875">
                                <a:moveTo>
                                  <a:pt x="2285999" y="7000788"/>
                                </a:moveTo>
                                <a:lnTo>
                                  <a:pt x="0" y="700078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8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1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57027" y="0"/>
                                </a:lnTo>
                                <a:lnTo>
                                  <a:pt x="1185069" y="688"/>
                                </a:lnTo>
                                <a:lnTo>
                                  <a:pt x="1241065" y="4128"/>
                                </a:lnTo>
                                <a:lnTo>
                                  <a:pt x="1296824" y="10312"/>
                                </a:lnTo>
                                <a:lnTo>
                                  <a:pt x="1352213" y="19224"/>
                                </a:lnTo>
                                <a:lnTo>
                                  <a:pt x="1407098" y="30843"/>
                                </a:lnTo>
                                <a:lnTo>
                                  <a:pt x="1461346" y="45141"/>
                                </a:lnTo>
                                <a:lnTo>
                                  <a:pt x="1514828" y="62084"/>
                                </a:lnTo>
                                <a:lnTo>
                                  <a:pt x="1567414" y="81631"/>
                                </a:lnTo>
                                <a:lnTo>
                                  <a:pt x="1618977" y="103734"/>
                                </a:lnTo>
                                <a:lnTo>
                                  <a:pt x="1669394" y="128341"/>
                                </a:lnTo>
                                <a:lnTo>
                                  <a:pt x="1718543" y="155392"/>
                                </a:lnTo>
                                <a:lnTo>
                                  <a:pt x="1766305" y="184822"/>
                                </a:lnTo>
                                <a:lnTo>
                                  <a:pt x="1812565" y="216560"/>
                                </a:lnTo>
                                <a:lnTo>
                                  <a:pt x="1857213" y="250530"/>
                                </a:lnTo>
                                <a:lnTo>
                                  <a:pt x="1900140" y="286650"/>
                                </a:lnTo>
                                <a:lnTo>
                                  <a:pt x="1941242" y="324832"/>
                                </a:lnTo>
                                <a:lnTo>
                                  <a:pt x="1980422" y="364986"/>
                                </a:lnTo>
                                <a:lnTo>
                                  <a:pt x="2017585" y="407013"/>
                                </a:lnTo>
                                <a:lnTo>
                                  <a:pt x="2052640" y="450813"/>
                                </a:lnTo>
                                <a:lnTo>
                                  <a:pt x="2085504" y="496281"/>
                                </a:lnTo>
                                <a:lnTo>
                                  <a:pt x="2116098" y="543306"/>
                                </a:lnTo>
                                <a:lnTo>
                                  <a:pt x="2144347" y="591776"/>
                                </a:lnTo>
                                <a:lnTo>
                                  <a:pt x="2170184" y="641574"/>
                                </a:lnTo>
                                <a:lnTo>
                                  <a:pt x="2193546" y="692579"/>
                                </a:lnTo>
                                <a:lnTo>
                                  <a:pt x="2214377" y="744670"/>
                                </a:lnTo>
                                <a:lnTo>
                                  <a:pt x="2232628" y="797719"/>
                                </a:lnTo>
                                <a:lnTo>
                                  <a:pt x="2248253" y="851601"/>
                                </a:lnTo>
                                <a:lnTo>
                                  <a:pt x="2261216" y="906184"/>
                                </a:lnTo>
                                <a:lnTo>
                                  <a:pt x="2271485" y="961337"/>
                                </a:lnTo>
                                <a:lnTo>
                                  <a:pt x="2279035" y="1016928"/>
                                </a:lnTo>
                                <a:lnTo>
                                  <a:pt x="2283848" y="1072823"/>
                                </a:lnTo>
                                <a:lnTo>
                                  <a:pt x="2285913" y="1128886"/>
                                </a:lnTo>
                                <a:lnTo>
                                  <a:pt x="2285999" y="70007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966787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4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7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79"/>
                                </a:lnTo>
                                <a:lnTo>
                                  <a:pt x="1493232" y="119639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6"/>
                                </a:lnTo>
                                <a:lnTo>
                                  <a:pt x="1951697" y="1403345"/>
                                </a:lnTo>
                                <a:lnTo>
                                  <a:pt x="1931544" y="1448810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3"/>
                                </a:lnTo>
                                <a:lnTo>
                                  <a:pt x="1766350" y="1696040"/>
                                </a:lnTo>
                                <a:lnTo>
                                  <a:pt x="1732058" y="1732058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30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8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5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4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8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3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0"/>
                                </a:lnTo>
                                <a:lnTo>
                                  <a:pt x="77126" y="1403345"/>
                                </a:lnTo>
                                <a:lnTo>
                                  <a:pt x="59228" y="1356946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1025524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4861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8100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124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00037" y="4962524"/>
                            <a:ext cx="47625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38250">
                                <a:moveTo>
                                  <a:pt x="47625" y="1211097"/>
                                </a:moveTo>
                                <a:lnTo>
                                  <a:pt x="27165" y="1190625"/>
                                </a:lnTo>
                                <a:lnTo>
                                  <a:pt x="20472" y="1190625"/>
                                </a:lnTo>
                                <a:lnTo>
                                  <a:pt x="0" y="1211097"/>
                                </a:lnTo>
                                <a:lnTo>
                                  <a:pt x="0" y="1214666"/>
                                </a:lnTo>
                                <a:lnTo>
                                  <a:pt x="0" y="1217790"/>
                                </a:lnTo>
                                <a:lnTo>
                                  <a:pt x="20472" y="1238250"/>
                                </a:lnTo>
                                <a:lnTo>
                                  <a:pt x="27165" y="1238250"/>
                                </a:lnTo>
                                <a:lnTo>
                                  <a:pt x="47625" y="1217790"/>
                                </a:lnTo>
                                <a:lnTo>
                                  <a:pt x="47625" y="1211097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533377" stroked="false">
                  <v:path arrowok="t"/>
                  <v:fill type="solid"/>
                </v:shape>
                <v:rect style="position:absolute;left:3900;top:0;width:8019;height:4020" id="docshape3" filled="true" fillcolor="#533377" stroked="false">
                  <v:fill opacity="32899f" type="solid"/>
                </v:rect>
                <v:rect style="position:absolute;left:0;top:0;width:3900;height:4020" id="docshape4" filled="true" fillcolor="#ffffff" stroked="false">
                  <v:fill type="solid"/>
                </v:rect>
                <v:rect style="position:absolute;left:0;top:0;width:3900;height:4020" id="docshape5" filled="true" fillcolor="#533377" stroked="false">
                  <v:fill opacity="32899f" type="solid"/>
                </v:rect>
                <v:shape style="position:absolute;left:120;top:1290;width:3600;height:11025" id="docshape6" coordorigin="120,1290" coordsize="3600,11025" path="m3720,12315l120,12315,120,3068,123,2980,131,2892,143,2804,159,2717,179,2631,204,2546,233,2463,266,2381,302,2300,343,2222,388,2146,436,2072,487,2000,543,1931,601,1865,663,1802,728,1742,795,1685,866,1631,938,1581,1014,1535,1091,1492,1170,1453,1252,1419,1334,1388,1419,1361,1504,1339,1591,1320,1678,1306,1766,1297,1854,1291,1942,1290,1986,1291,2074,1297,2162,1306,2249,1320,2336,1339,2421,1361,2506,1388,2588,1419,2670,1453,2749,1492,2826,1535,2902,1581,2974,1631,3045,1685,3112,1742,3177,1802,3239,1865,3297,1931,3353,2000,3404,2072,3452,2146,3497,2222,3538,2300,3574,2381,3607,2463,3636,2546,3661,2631,3681,2717,3697,2804,3709,2892,3717,2980,3720,3068,3720,12315xe" filled="true" fillcolor="#533377" stroked="false">
                  <v:path arrowok="t"/>
                  <v:fill type="solid"/>
                </v:shape>
                <v:shape style="position:absolute;left:322;top:1522;width:3195;height:3195" id="docshape7" coordorigin="322,1522" coordsize="3195,3195" path="m322,3122l322,3118,323,3099,326,3020,332,2942,343,2865,357,2788,375,2711,397,2636,422,2562,452,2489,484,2418,520,2349,560,2281,602,2215,648,2152,697,2091,749,2032,804,1976,861,1923,921,1872,983,1825,1048,1781,1115,1740,1183,1702,1254,1667,1326,1637,1399,1609,1474,1586,1549,1566,1626,1549,1703,1537,1781,1528,1859,1524,1918,1522,1922,1522,2000,1524,2078,1530,2156,1540,2233,1553,2310,1570,2385,1591,2459,1616,2532,1644,2604,1676,2674,1711,2742,1750,2808,1791,2872,1837,2934,1885,2993,1936,3050,1990,3104,2047,3155,2106,3203,2168,3249,2232,3290,2298,3329,2366,3364,2436,3396,2508,3424,2581,3449,2655,3470,2730,3487,2807,3500,2884,3510,2962,3516,3040,3517,3118,3517,3122,3516,3200,3510,3278,3500,3356,3487,3433,3470,3510,3449,3585,3424,3659,3396,3732,3364,3804,3329,3874,3290,3942,3249,4008,3203,4072,3155,4134,3104,4193,3050,4250,2993,4304,2934,4355,2872,4403,2808,4449,2742,4490,2674,4529,2604,4564,2532,4596,2459,4624,2385,4649,2310,4670,2233,4687,2156,4700,2078,4710,2000,4716,1922,4717,1918,4717,1840,4716,1762,4710,1684,4700,1607,4687,1530,4670,1455,4649,1381,4624,1308,4596,1236,4564,1166,4529,1098,4490,1032,4449,968,4403,906,4355,847,4304,790,4250,736,4193,685,4134,637,4072,591,4008,550,3942,511,3874,476,3804,444,3732,416,3659,391,3585,370,3510,353,3433,340,3356,330,3278,324,3200,322,3122xe" filled="false" stroked="true" strokeweight="2.25pt" strokecolor="#ffffff">
                  <v:path arrowok="t"/>
                  <v:stroke dashstyle="solid"/>
                </v:shape>
                <v:shape style="position:absolute;left:405;top:1615;width:3030;height:3020" type="#_x0000_t75" id="docshape8" stroked="false">
                  <v:imagedata r:id="rId5" o:title=""/>
                </v:shape>
                <v:shape style="position:absolute;left:630;top:5490;width:317;height:317" type="#_x0000_t75" id="docshape9" stroked="false">
                  <v:imagedata r:id="rId6" o:title=""/>
                </v:shape>
                <v:shape style="position:absolute;left:650;top:6000;width:275;height:317" type="#_x0000_t75" id="docshape10" stroked="false">
                  <v:imagedata r:id="rId7" o:title=""/>
                </v:shape>
                <v:shape style="position:absolute;left:631;top:6495;width:315;height:317" type="#_x0000_t75" id="docshape11" stroked="false">
                  <v:imagedata r:id="rId8" o:title=""/>
                </v:shape>
                <v:shape style="position:absolute;left:629;top:7815;width:75;height:1950" id="docshape12" coordorigin="630,7815" coordsize="75,1950" path="m705,9722l704,9717,700,9708,698,9704,691,9697,687,9695,678,9691,673,9690,662,9690,657,9691,648,9695,644,9697,637,9704,635,9708,631,9717,630,9722,630,9728,630,9733,631,9738,635,9747,637,9751,644,9758,648,9760,657,9764,662,9765,673,9765,678,9764,687,9760,691,9758,698,9751,700,9747,704,9738,705,9733,705,9722xm705,9392l704,9387,700,9378,698,9374,691,9367,687,9365,678,9361,673,9360,662,9360,657,9361,648,9365,644,9367,637,9374,635,9378,631,9387,630,9392,630,9398,630,9403,631,9408,635,9417,637,9421,644,9428,648,9430,657,9434,662,9435,673,9435,678,9434,687,9430,691,9428,698,9421,700,9417,704,9408,705,9403,705,9392xm705,8837l704,8832,700,8823,698,8819,691,8812,687,8810,678,8806,673,8805,662,8805,657,8806,648,8810,644,8812,637,8819,635,8823,631,8832,630,8837,630,8843,630,8848,631,8853,635,8862,637,8866,644,8873,648,8875,657,8879,662,8880,673,8880,678,8879,687,8875,691,8873,698,8866,700,8862,704,8853,705,8848,705,8837xm705,8507l704,8502,700,8493,698,8489,691,8482,687,8480,678,8476,673,8475,662,8475,657,8476,648,8480,644,8482,637,8489,635,8493,631,8502,630,8507,630,8513,630,8518,631,8523,635,8532,637,8536,644,8543,648,8545,657,8549,662,8550,673,8550,678,8549,687,8545,691,8543,698,8536,700,8532,704,8523,705,8518,705,8507xm705,8177l704,8172,700,8163,698,8159,691,8152,687,8150,678,8146,673,8145,662,8145,657,8146,648,8150,644,8152,637,8159,635,8163,631,8172,630,8177,630,8183,630,8188,631,8193,635,8202,637,8206,644,8213,648,8215,657,8219,662,8220,673,8220,678,8219,687,8215,691,8213,698,8206,700,8202,704,8193,705,8188,705,8177xm705,7847l704,7842,700,7833,698,7829,691,7822,687,7820,678,7816,673,7815,662,7815,657,7816,648,7820,644,7822,637,7829,635,7833,631,7842,630,7847,630,7853,630,7858,631,7863,635,7872,637,7876,644,7883,648,7885,657,7889,662,7890,673,7890,678,7889,687,7885,691,7883,698,7876,700,7872,704,7863,705,7858,705,78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90" w:lineRule="auto" w:before="1"/>
        <w:ind w:left="815"/>
      </w:pPr>
      <w:hyperlink r:id="rId9">
        <w:r>
          <w:rPr>
            <w:color w:val="FFFFFF"/>
            <w:spacing w:val="-2"/>
          </w:rPr>
          <w:t>rachel.simmons@email.com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San Francisco, CA</w:t>
      </w:r>
    </w:p>
    <w:p>
      <w:pPr>
        <w:pStyle w:val="BodyText"/>
        <w:spacing w:before="8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4" w:lineRule="auto" w:before="215"/>
        <w:ind w:left="647"/>
      </w:pPr>
      <w:r>
        <w:rPr>
          <w:color w:val="FFFFFF"/>
          <w:w w:val="105"/>
        </w:rPr>
        <w:t>External and internal audits </w:t>
      </w:r>
      <w:r>
        <w:rPr>
          <w:color w:val="FFFFFF"/>
          <w:spacing w:val="-2"/>
          <w:w w:val="105"/>
        </w:rPr>
        <w:t>Financial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statement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analysis GAAP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IFRS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compliance</w:t>
      </w:r>
    </w:p>
    <w:p>
      <w:pPr>
        <w:pStyle w:val="BodyText"/>
        <w:spacing w:line="261" w:lineRule="auto" w:before="7"/>
        <w:ind w:left="647"/>
      </w:pPr>
      <w:r>
        <w:rPr>
          <w:color w:val="FFFFFF"/>
          <w:spacing w:val="-2"/>
          <w:w w:val="105"/>
        </w:rPr>
        <w:t>Risk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assessment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mitigation</w:t>
      </w:r>
    </w:p>
    <w:p>
      <w:pPr>
        <w:pStyle w:val="BodyText"/>
        <w:spacing w:before="103"/>
        <w:ind w:left="647"/>
      </w:pPr>
      <w:r>
        <w:rPr>
          <w:color w:val="FFFFFF"/>
        </w:rPr>
        <w:t>Internal</w:t>
      </w:r>
      <w:r>
        <w:rPr>
          <w:color w:val="FFFFFF"/>
          <w:spacing w:val="12"/>
        </w:rPr>
        <w:t> </w:t>
      </w:r>
      <w:r>
        <w:rPr>
          <w:color w:val="FFFFFF"/>
        </w:rPr>
        <w:t>controls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evaluation</w:t>
      </w:r>
    </w:p>
    <w:p>
      <w:pPr>
        <w:pStyle w:val="BodyText"/>
        <w:spacing w:line="261" w:lineRule="auto" w:before="123"/>
        <w:ind w:left="647"/>
      </w:pPr>
      <w:r>
        <w:rPr>
          <w:color w:val="FFFFFF"/>
          <w:spacing w:val="-2"/>
          <w:w w:val="105"/>
        </w:rPr>
        <w:t>Process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improvement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efﬁciency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168" w:after="0"/>
        <w:ind w:left="926" w:right="332" w:hanging="292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 external audits for Fortune 500 clients, ensuring compliance with GAAP and reducing financial discrepancies by 30%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04" w:after="0"/>
        <w:ind w:left="926" w:right="177" w:hanging="292"/>
        <w:jc w:val="left"/>
        <w:rPr>
          <w:sz w:val="18"/>
        </w:rPr>
      </w:pPr>
      <w:r>
        <w:rPr>
          <w:w w:val="105"/>
          <w:sz w:val="18"/>
        </w:rPr>
        <w:t>Assess internal controls, identifying weaknesses and implementing process improvements that increased efficiency by 25%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75" w:after="0"/>
        <w:ind w:left="926" w:right="132" w:hanging="292"/>
        <w:jc w:val="left"/>
        <w:rPr>
          <w:sz w:val="18"/>
        </w:rPr>
      </w:pPr>
      <w:r>
        <w:rPr>
          <w:w w:val="105"/>
          <w:sz w:val="18"/>
        </w:rPr>
        <w:t>Prepare detailed audit reports and present findings to senior leadership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regulatory agencies</w:t>
      </w:r>
    </w:p>
    <w:p>
      <w:pPr>
        <w:pStyle w:val="BodyText"/>
        <w:spacing w:before="120"/>
        <w:ind w:left="164"/>
      </w:pPr>
      <w:r>
        <w:rPr>
          <w:w w:val="105"/>
        </w:rPr>
        <w:t>August</w:t>
      </w:r>
      <w:r>
        <w:rPr>
          <w:spacing w:val="10"/>
          <w:w w:val="105"/>
        </w:rPr>
        <w:t> </w:t>
      </w:r>
      <w:r>
        <w:rPr>
          <w:w w:val="105"/>
        </w:rPr>
        <w:t>2015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Heading2"/>
        <w:spacing w:line="261" w:lineRule="auto" w:before="33"/>
        <w:ind w:right="272"/>
      </w:pPr>
      <w:r>
        <w:rPr>
          <w:w w:val="105"/>
        </w:rPr>
        <w:t>Staff Accountant – Audit Division, West Coast Accounting Group, San Francisco, CA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149" w:after="0"/>
        <w:ind w:left="926" w:right="626" w:hanging="292"/>
        <w:jc w:val="left"/>
        <w:rPr>
          <w:sz w:val="18"/>
        </w:rPr>
      </w:pPr>
      <w:r>
        <w:rPr>
          <w:w w:val="105"/>
          <w:sz w:val="18"/>
        </w:rPr>
        <w:t>Assisted in financial audits for public and private companies, 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accuracy in financial reporting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103" w:after="0"/>
        <w:ind w:left="926" w:right="363" w:hanging="292"/>
        <w:jc w:val="left"/>
        <w:rPr>
          <w:sz w:val="18"/>
        </w:rPr>
      </w:pPr>
      <w:r>
        <w:rPr>
          <w:w w:val="105"/>
          <w:sz w:val="18"/>
        </w:rPr>
        <w:t>Reviewed general ledger accounts and reconciliations, reducing errors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financial statements by 20%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04" w:after="0"/>
        <w:ind w:left="926" w:right="571" w:hanging="292"/>
        <w:jc w:val="left"/>
        <w:rPr>
          <w:sz w:val="18"/>
        </w:rPr>
      </w:pPr>
      <w:r>
        <w:rPr>
          <w:w w:val="105"/>
          <w:sz w:val="18"/>
        </w:rPr>
        <w:t>Provided audit recommendations to clients, leading to improvements in internal financial procedures</w:t>
      </w:r>
    </w:p>
    <w:p>
      <w:pPr>
        <w:pStyle w:val="Heading1"/>
        <w:spacing w:before="184"/>
      </w:pPr>
      <w:r>
        <w:rPr>
          <w:color w:val="533377"/>
          <w:spacing w:val="-2"/>
        </w:rPr>
        <w:t>EDUCATION</w:t>
      </w:r>
    </w:p>
    <w:p>
      <w:pPr>
        <w:pStyle w:val="Heading2"/>
        <w:spacing w:before="170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(B.S.)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Accounting</w:t>
      </w:r>
    </w:p>
    <w:p>
      <w:pPr>
        <w:pStyle w:val="BodyText"/>
        <w:spacing w:before="18"/>
        <w:ind w:left="164"/>
      </w:pPr>
      <w:r>
        <w:rPr/>
        <w:t>University</w:t>
      </w:r>
      <w:r>
        <w:rPr>
          <w:spacing w:val="34"/>
        </w:rPr>
        <w:t> </w:t>
      </w:r>
      <w:r>
        <w:rPr/>
        <w:t>of</w:t>
      </w:r>
      <w:r>
        <w:rPr>
          <w:spacing w:val="34"/>
        </w:rPr>
        <w:t> </w:t>
      </w:r>
      <w:r>
        <w:rPr/>
        <w:t>California,</w:t>
      </w:r>
      <w:r>
        <w:rPr>
          <w:spacing w:val="34"/>
        </w:rPr>
        <w:t> </w:t>
      </w:r>
      <w:r>
        <w:rPr/>
        <w:t>Berkeley,</w:t>
      </w:r>
      <w:r>
        <w:rPr>
          <w:spacing w:val="34"/>
        </w:rPr>
        <w:t> </w:t>
      </w:r>
      <w:r>
        <w:rPr/>
        <w:t>CA</w:t>
      </w:r>
      <w:r>
        <w:rPr>
          <w:spacing w:val="34"/>
        </w:rPr>
        <w:t> </w:t>
      </w:r>
      <w:r>
        <w:rPr/>
        <w:t>|</w:t>
      </w:r>
      <w:r>
        <w:rPr>
          <w:spacing w:val="34"/>
        </w:rPr>
        <w:t> </w:t>
      </w:r>
      <w:r>
        <w:rPr>
          <w:spacing w:val="-4"/>
        </w:rPr>
        <w:t>2015</w:t>
      </w:r>
    </w:p>
    <w:p>
      <w:pPr>
        <w:pStyle w:val="BodyText"/>
        <w:spacing w:before="25"/>
      </w:pPr>
    </w:p>
    <w:p>
      <w:pPr>
        <w:pStyle w:val="Heading1"/>
      </w:pPr>
      <w:r>
        <w:rPr>
          <w:color w:val="533377"/>
          <w:spacing w:val="-2"/>
        </w:rPr>
        <w:t>CERTIFICATIONS</w:t>
      </w:r>
    </w:p>
    <w:p>
      <w:pPr>
        <w:pStyle w:val="BodyText"/>
        <w:tabs>
          <w:tab w:pos="461" w:val="left" w:leader="none"/>
        </w:tabs>
        <w:spacing w:before="155"/>
        <w:ind w:left="17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Certified</w:t>
      </w:r>
      <w:r>
        <w:rPr>
          <w:spacing w:val="18"/>
          <w:w w:val="105"/>
        </w:rPr>
        <w:t> </w:t>
      </w:r>
      <w:r>
        <w:rPr>
          <w:w w:val="105"/>
        </w:rPr>
        <w:t>Public</w:t>
      </w:r>
      <w:r>
        <w:rPr>
          <w:spacing w:val="17"/>
          <w:w w:val="105"/>
        </w:rPr>
        <w:t> </w:t>
      </w:r>
      <w:r>
        <w:rPr>
          <w:w w:val="105"/>
        </w:rPr>
        <w:t>Accountant</w:t>
      </w:r>
      <w:r>
        <w:rPr>
          <w:spacing w:val="18"/>
          <w:w w:val="105"/>
        </w:rPr>
        <w:t> </w:t>
      </w:r>
      <w:r>
        <w:rPr>
          <w:w w:val="105"/>
        </w:rPr>
        <w:t>(CPA),</w:t>
      </w:r>
      <w:r>
        <w:rPr>
          <w:spacing w:val="18"/>
          <w:w w:val="105"/>
        </w:rPr>
        <w:t> </w:t>
      </w:r>
      <w:r>
        <w:rPr>
          <w:w w:val="105"/>
        </w:rPr>
        <w:t>California</w:t>
      </w:r>
      <w:r>
        <w:rPr>
          <w:spacing w:val="18"/>
          <w:w w:val="105"/>
        </w:rPr>
        <w:t> </w:t>
      </w:r>
      <w:r>
        <w:rPr>
          <w:w w:val="105"/>
        </w:rPr>
        <w:t>Board</w:t>
      </w:r>
      <w:r>
        <w:rPr>
          <w:spacing w:val="18"/>
          <w:w w:val="105"/>
        </w:rPr>
        <w:t> </w:t>
      </w:r>
      <w:r>
        <w:rPr>
          <w:w w:val="105"/>
        </w:rPr>
        <w:t>of</w:t>
      </w:r>
      <w:r>
        <w:rPr>
          <w:spacing w:val="18"/>
          <w:w w:val="105"/>
        </w:rPr>
        <w:t> </w:t>
      </w:r>
      <w:r>
        <w:rPr>
          <w:w w:val="105"/>
        </w:rPr>
        <w:t>Accountancy</w:t>
      </w:r>
      <w:r>
        <w:rPr>
          <w:spacing w:val="18"/>
          <w:w w:val="105"/>
        </w:rPr>
        <w:t> </w:t>
      </w:r>
      <w:r>
        <w:rPr>
          <w:w w:val="105"/>
        </w:rPr>
        <w:t>|</w:t>
      </w:r>
      <w:r>
        <w:rPr>
          <w:spacing w:val="18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980" w:bottom="280" w:left="283" w:right="283"/>
      <w:cols w:num="2" w:equalWidth="0">
        <w:col w:w="3153" w:space="549"/>
        <w:col w:w="76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93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66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9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85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58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1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4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4"/>
      <w:ind w:left="926" w:right="132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rachel.simmons@email.com" TargetMode="External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2026-02-20T12:20:17Z</dcterms:created>
  <dcterms:modified xsi:type="dcterms:W3CDTF">2026-02-20T12:20:17Z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