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8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30"/>
          <w:sz w:val="70"/>
        </w:rPr>
        <w:t>Sam</w:t>
      </w:r>
      <w:r>
        <w:rPr>
          <w:rFonts w:ascii="Calibri"/>
          <w:b/>
          <w:color w:val="FFFFFF"/>
          <w:spacing w:val="30"/>
          <w:w w:val="130"/>
          <w:sz w:val="70"/>
        </w:rPr>
        <w:t> </w:t>
      </w:r>
      <w:r>
        <w:rPr>
          <w:rFonts w:ascii="Calibri"/>
          <w:color w:val="FFFFFF"/>
          <w:spacing w:val="-2"/>
          <w:w w:val="130"/>
          <w:sz w:val="70"/>
        </w:rPr>
        <w:t>Wright</w:t>
      </w:r>
    </w:p>
    <w:p>
      <w:pPr>
        <w:pStyle w:val="Heading1"/>
        <w:spacing w:before="120"/>
        <w:ind w:left="448"/>
      </w:pPr>
      <w:r>
        <w:rPr>
          <w:color w:val="FFFFFF"/>
          <w:w w:val="130"/>
        </w:rPr>
        <w:t>Freelance</w:t>
      </w:r>
      <w:r>
        <w:rPr>
          <w:color w:val="FFFFFF"/>
          <w:spacing w:val="43"/>
          <w:w w:val="130"/>
        </w:rPr>
        <w:t> </w:t>
      </w:r>
      <w:r>
        <w:rPr>
          <w:color w:val="FFFFFF"/>
          <w:spacing w:val="-2"/>
          <w:w w:val="130"/>
        </w:rPr>
        <w:t>Architect</w:t>
      </w:r>
    </w:p>
    <w:p>
      <w:pPr>
        <w:spacing w:before="147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Sustainable</w:t>
      </w:r>
      <w:r>
        <w:rPr>
          <w:b/>
          <w:color w:val="FFFFFF"/>
          <w:spacing w:val="1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design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Architect</w:t>
      </w:r>
      <w:r>
        <w:rPr>
          <w:b/>
          <w:color w:val="FFFFFF"/>
          <w:spacing w:val="1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dedicated</w:t>
      </w:r>
      <w:r>
        <w:rPr>
          <w:b/>
          <w:color w:val="FFFFFF"/>
          <w:spacing w:val="1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to</w:t>
      </w:r>
      <w:r>
        <w:rPr>
          <w:b/>
          <w:color w:val="FFFFFF"/>
          <w:spacing w:val="1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high-performance</w:t>
      </w:r>
      <w:r>
        <w:rPr>
          <w:b/>
          <w:color w:val="FFFFFF"/>
          <w:spacing w:val="1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buildings</w:t>
      </w:r>
      <w:r>
        <w:rPr>
          <w:b/>
          <w:color w:val="FFFFFF"/>
          <w:spacing w:val="1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1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green</w:t>
      </w:r>
      <w:r>
        <w:rPr>
          <w:b/>
          <w:color w:val="FFFFFF"/>
          <w:spacing w:val="13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certifications</w:t>
      </w:r>
    </w:p>
    <w:p>
      <w:pPr>
        <w:spacing w:line="271" w:lineRule="auto" w:before="24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Architect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focusing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net-zero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energy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buildings,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LEED-certified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projects,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environmentally conscious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structures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carbon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impact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occupant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health.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850"/>
        </w:sectPr>
      </w:pPr>
    </w:p>
    <w:p>
      <w:pPr>
        <w:pStyle w:val="Heading1"/>
        <w:spacing w:before="109"/>
      </w:pPr>
      <w:r>
        <w:rPr>
          <w:color w:val="F98B78"/>
          <w:spacing w:val="2"/>
          <w:w w:val="130"/>
        </w:rPr>
        <w:t>PERSONAL</w:t>
      </w:r>
      <w:r>
        <w:rPr>
          <w:color w:val="F98B78"/>
          <w:spacing w:val="57"/>
          <w:w w:val="130"/>
        </w:rPr>
        <w:t> </w:t>
      </w:r>
      <w:r>
        <w:rPr>
          <w:color w:val="F98B78"/>
          <w:spacing w:val="-2"/>
          <w:w w:val="130"/>
        </w:rPr>
        <w:t>INFORMATION</w:t>
      </w:r>
    </w:p>
    <w:p>
      <w:pPr>
        <w:pStyle w:val="BodyText"/>
        <w:spacing w:before="163"/>
        <w:rPr>
          <w:rFonts w:ascii="Calibri"/>
          <w:b/>
        </w:rPr>
      </w:pPr>
    </w:p>
    <w:p>
      <w:pPr>
        <w:pStyle w:val="BodyText"/>
        <w:ind w:left="802"/>
      </w:pPr>
      <w:r>
        <w:rPr>
          <w:color w:val="424242"/>
          <w:w w:val="115"/>
        </w:rPr>
        <w:t>000-000-</w:t>
      </w:r>
      <w:r>
        <w:rPr>
          <w:color w:val="424242"/>
          <w:spacing w:val="-4"/>
          <w:w w:val="115"/>
        </w:rPr>
        <w:t>0000</w:t>
      </w:r>
    </w:p>
    <w:p>
      <w:pPr>
        <w:pStyle w:val="Heading1"/>
        <w:spacing w:before="109"/>
      </w:pPr>
      <w:r>
        <w:rPr>
          <w:b w:val="0"/>
        </w:rPr>
        <w:br w:type="column"/>
      </w:r>
      <w:r>
        <w:rPr>
          <w:color w:val="F98B78"/>
          <w:w w:val="135"/>
        </w:rPr>
        <w:t>PROFESSIONAL</w:t>
      </w:r>
      <w:r>
        <w:rPr>
          <w:color w:val="F98B78"/>
          <w:spacing w:val="45"/>
          <w:w w:val="135"/>
        </w:rPr>
        <w:t> </w:t>
      </w:r>
      <w:r>
        <w:rPr>
          <w:color w:val="F98B78"/>
          <w:spacing w:val="-2"/>
          <w:w w:val="135"/>
        </w:rPr>
        <w:t>EXPERIENCE</w:t>
      </w:r>
    </w:p>
    <w:p>
      <w:pPr>
        <w:pStyle w:val="BodyText"/>
        <w:spacing w:before="101"/>
        <w:rPr>
          <w:rFonts w:ascii="Calibri"/>
          <w:b/>
        </w:rPr>
      </w:pPr>
    </w:p>
    <w:p>
      <w:pPr>
        <w:pStyle w:val="BodyText"/>
        <w:spacing w:line="266" w:lineRule="auto" w:before="1"/>
        <w:ind w:left="225"/>
      </w:pPr>
      <w:r>
        <w:rPr>
          <w:w w:val="115"/>
        </w:rPr>
        <w:t>SUSTAINABILITY</w:t>
      </w:r>
      <w:r>
        <w:rPr>
          <w:spacing w:val="-11"/>
          <w:w w:val="115"/>
        </w:rPr>
        <w:t> </w:t>
      </w:r>
      <w:r>
        <w:rPr>
          <w:w w:val="115"/>
        </w:rPr>
        <w:t>ARCHITECT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GREENFORM GROUP, SAN FRANCISCO, CA JUNE 2016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60" w:bottom="280" w:left="425" w:right="850"/>
          <w:cols w:num="2" w:equalWidth="0">
            <w:col w:w="2635" w:space="1122"/>
            <w:col w:w="6888"/>
          </w:cols>
        </w:sectPr>
      </w:pPr>
    </w:p>
    <w:p>
      <w:pPr>
        <w:pStyle w:val="BodyText"/>
        <w:spacing w:before="113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</w:rPr>
        <w:t>San</w:t>
      </w:r>
      <w:r>
        <w:rPr>
          <w:color w:val="424242"/>
          <w:spacing w:val="26"/>
        </w:rPr>
        <w:t> </w:t>
      </w:r>
      <w:r>
        <w:rPr>
          <w:color w:val="424242"/>
        </w:rPr>
        <w:t>Francisco,</w:t>
      </w:r>
      <w:r>
        <w:rPr>
          <w:color w:val="424242"/>
          <w:spacing w:val="26"/>
        </w:rPr>
        <w:t> </w:t>
      </w:r>
      <w:r>
        <w:rPr>
          <w:color w:val="424242"/>
          <w:spacing w:val="-5"/>
        </w:rPr>
        <w:t>CA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1"/>
      </w:pPr>
      <w:r>
        <w:rPr>
          <w:color w:val="F98B78"/>
          <w:w w:val="140"/>
        </w:rPr>
        <w:t>KEY</w:t>
      </w:r>
      <w:r>
        <w:rPr>
          <w:color w:val="F98B78"/>
          <w:spacing w:val="5"/>
          <w:w w:val="140"/>
        </w:rPr>
        <w:t> </w:t>
      </w:r>
      <w:r>
        <w:rPr>
          <w:color w:val="F98B78"/>
          <w:spacing w:val="-2"/>
          <w:w w:val="140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8" w:lineRule="auto" w:before="209" w:after="0"/>
        <w:ind w:left="300" w:right="22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Contributed to over 25 LEED-certified projects, including five LEED Platinum commercial buildings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</w:tabs>
        <w:spacing w:line="343" w:lineRule="exact" w:before="17" w:after="0"/>
        <w:ind w:left="298" w:right="0" w:hanging="296"/>
        <w:jc w:val="left"/>
        <w:rPr>
          <w:sz w:val="18"/>
        </w:rPr>
      </w:pPr>
      <w:r>
        <w:rPr>
          <w:w w:val="110"/>
          <w:sz w:val="18"/>
        </w:rPr>
        <w:t>Integrated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passive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design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strategies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to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reduce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HVAC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loads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-3"/>
          <w:w w:val="110"/>
          <w:sz w:val="18"/>
        </w:rPr>
        <w:t> </w:t>
      </w:r>
      <w:r>
        <w:rPr>
          <w:spacing w:val="-5"/>
          <w:w w:val="110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8" w:lineRule="auto" w:before="10" w:after="0"/>
        <w:ind w:left="300" w:right="1061" w:hanging="298"/>
        <w:jc w:val="left"/>
        <w:rPr>
          <w:sz w:val="18"/>
        </w:rPr>
      </w:pPr>
      <w:r>
        <w:rPr>
          <w:w w:val="110"/>
          <w:sz w:val="18"/>
        </w:rPr>
        <w:t>Coordinated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with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engineers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consultants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on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life-cycle assessments and energy modeling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850"/>
          <w:cols w:num="2" w:equalWidth="0">
            <w:col w:w="2589" w:space="1614"/>
            <w:col w:w="6442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43" w:lineRule="exact" w:before="126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Daylighting</w:t>
      </w:r>
      <w:r>
        <w:rPr>
          <w:spacing w:val="48"/>
          <w:w w:val="110"/>
          <w:sz w:val="18"/>
        </w:rPr>
        <w:t> </w:t>
      </w:r>
      <w:r>
        <w:rPr>
          <w:spacing w:val="-2"/>
          <w:w w:val="110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06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Energy</w:t>
      </w:r>
      <w:r>
        <w:rPr>
          <w:spacing w:val="15"/>
          <w:w w:val="110"/>
          <w:sz w:val="18"/>
        </w:rPr>
        <w:t> </w:t>
      </w:r>
      <w:r>
        <w:rPr>
          <w:spacing w:val="-2"/>
          <w:w w:val="110"/>
          <w:sz w:val="18"/>
        </w:rPr>
        <w:t>modeling</w:t>
      </w:r>
    </w:p>
    <w:p>
      <w:pPr>
        <w:pStyle w:val="BodyText"/>
        <w:spacing w:line="283" w:lineRule="auto" w:before="96"/>
        <w:ind w:left="114" w:right="99"/>
      </w:pPr>
      <w:r>
        <w:rPr/>
        <w:br w:type="column"/>
      </w:r>
      <w:r>
        <w:rPr>
          <w:w w:val="115"/>
        </w:rPr>
        <w:t>ARCHITECTURAL DESIGNER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ENVIROBUILD COLLECTIVE, SAN JOSE, CA SEPTEMBER 2013 </w:t>
      </w:r>
      <w:r>
        <w:rPr>
          <w:w w:val="130"/>
        </w:rPr>
        <w:t>– </w:t>
      </w:r>
      <w:r>
        <w:rPr>
          <w:w w:val="115"/>
        </w:rPr>
        <w:t>MAY 2016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560" w:bottom="280" w:left="425" w:right="850"/>
          <w:cols w:num="2" w:equalWidth="0">
            <w:col w:w="2112" w:space="1757"/>
            <w:col w:w="6776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6" w:lineRule="exact" w:before="10" w:after="0"/>
        <w:ind w:left="410" w:right="0" w:hanging="296"/>
        <w:jc w:val="left"/>
        <w:rPr>
          <w:sz w:val="18"/>
        </w:rPr>
      </w:pPr>
      <w:r>
        <w:rPr>
          <w:spacing w:val="2"/>
          <w:sz w:val="18"/>
        </w:rPr>
        <w:t>Green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building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LEED</w:t>
      </w:r>
      <w:r>
        <w:rPr>
          <w:spacing w:val="35"/>
          <w:w w:val="110"/>
          <w:sz w:val="18"/>
        </w:rPr>
        <w:t> </w:t>
      </w:r>
      <w:r>
        <w:rPr>
          <w:spacing w:val="-2"/>
          <w:w w:val="110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Low-carbon</w:t>
      </w:r>
      <w:r>
        <w:rPr>
          <w:spacing w:val="30"/>
          <w:w w:val="110"/>
          <w:sz w:val="18"/>
        </w:rPr>
        <w:t> </w:t>
      </w:r>
      <w:r>
        <w:rPr>
          <w:spacing w:val="-2"/>
          <w:w w:val="110"/>
          <w:sz w:val="18"/>
        </w:rPr>
        <w:t>materials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Net-zero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spacing w:val="-2"/>
          <w:sz w:val="18"/>
        </w:rPr>
        <w:t>Revit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Thermal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envelope</w:t>
      </w:r>
      <w:r>
        <w:rPr>
          <w:spacing w:val="45"/>
          <w:w w:val="105"/>
          <w:sz w:val="18"/>
        </w:rPr>
        <w:t> </w:t>
      </w:r>
      <w:r>
        <w:rPr>
          <w:spacing w:val="-2"/>
          <w:w w:val="105"/>
          <w:sz w:val="18"/>
        </w:rPr>
        <w:t>detailing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4" w:lineRule="auto" w:before="34" w:after="0"/>
        <w:ind w:left="411" w:right="8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 energy-efficient layouts and envelope details for residential and mixed-use projects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43" w:lineRule="exact" w:before="35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producing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LEED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impact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4" w:lineRule="auto" w:before="26" w:after="0"/>
        <w:ind w:left="411" w:right="337" w:hanging="298"/>
        <w:jc w:val="left"/>
        <w:rPr>
          <w:sz w:val="18"/>
        </w:rPr>
      </w:pPr>
      <w:r>
        <w:rPr>
          <w:w w:val="105"/>
          <w:sz w:val="18"/>
        </w:rPr>
        <w:t>Specified materials based on environmental product declarations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(EPDs)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850"/>
          <w:cols w:num="2" w:equalWidth="0">
            <w:col w:w="2963" w:space="1129"/>
            <w:col w:w="6553"/>
          </w:cols>
        </w:sectPr>
      </w:pPr>
    </w:p>
    <w:p>
      <w:pPr>
        <w:pStyle w:val="BodyText"/>
        <w:spacing w:before="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391399"/>
                            <a:ext cx="2476500" cy="331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314700">
                                <a:moveTo>
                                  <a:pt x="0" y="3314699"/>
                                </a:moveTo>
                                <a:lnTo>
                                  <a:pt x="2476499" y="33146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14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391399"/>
                            <a:ext cx="9525" cy="331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314700">
                                <a:moveTo>
                                  <a:pt x="0" y="3314699"/>
                                </a:moveTo>
                                <a:lnTo>
                                  <a:pt x="9524" y="33146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14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05024"/>
                            <a:ext cx="9525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86375">
                                <a:moveTo>
                                  <a:pt x="9524" y="5286374"/>
                                </a:moveTo>
                                <a:lnTo>
                                  <a:pt x="0" y="5286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86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05024"/>
                            <a:ext cx="2466975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286375">
                                <a:moveTo>
                                  <a:pt x="2466974" y="5286374"/>
                                </a:moveTo>
                                <a:lnTo>
                                  <a:pt x="0" y="52863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286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6385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11640;width:3900;height:5220" id="docshape2" filled="true" fillcolor="#f98b78" stroked="false">
                  <v:fill opacity="32899f" type="solid"/>
                </v:rect>
                <v:rect style="position:absolute;left:3885;top:11640;width:15;height:5220" id="docshape3" filled="true" fillcolor="#000000" stroked="false">
                  <v:fill type="solid"/>
                </v:rect>
                <v:rect style="position:absolute;left:0;top:0;width:11919;height:3315" id="docshape4" filled="true" fillcolor="#f98b78" stroked="false">
                  <v:fill type="solid"/>
                </v:rect>
                <v:rect style="position:absolute;left:3885;top:3315;width:15;height:8325" id="docshape5" filled="true" fillcolor="#000000" stroked="false">
                  <v:fill type="solid"/>
                </v:rect>
                <v:rect style="position:absolute;left:0;top:3315;width:3885;height:8325" id="docshape6" filled="true" fillcolor="#f98b78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f98b78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f98b78">
                  <v:path arrowok="t"/>
                  <v:stroke dashstyle="solid"/>
                </v:shape>
                <v:shape style="position:absolute;left:675;top:4245;width:261;height:255" type="#_x0000_t75" id="docshape9" stroked="false">
                  <v:imagedata r:id="rId6" o:title=""/>
                </v:shape>
                <v:shape style="position:absolute;left:562;top:4867;width:495;height:495" id="docshape10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f98b78" stroked="false">
                  <v:path arrowok="t"/>
                  <v:fill type="solid"/>
                </v:shape>
                <v:shape style="position:absolute;left:562;top:4867;width:495;height:495" id="docshape11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f98b78">
                  <v:path arrowok="t"/>
                  <v:stroke dashstyle="solid"/>
                </v:shape>
                <v:shape style="position:absolute;left:692;top:4980;width:226;height:261" type="#_x0000_t75" id="docshape12" stroked="false">
                  <v:imagedata r:id="rId7" o:title=""/>
                </v:shape>
                <v:shape style="position:absolute;left:562;top:5617;width:495;height:495" id="docshape13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f98b78" stroked="false">
                  <v:path arrowok="t"/>
                  <v:fill type="solid"/>
                </v:shape>
                <v:shape style="position:absolute;left:562;top:5617;width:495;height:495" id="docshape14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f98b78">
                  <v:path arrowok="t"/>
                  <v:stroke dashstyle="solid"/>
                </v:shape>
                <v:shape style="position:absolute;left:675;top:573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98B78"/>
          <w:spacing w:val="-2"/>
          <w:w w:val="130"/>
        </w:rPr>
        <w:t>EDUCATION</w:t>
      </w:r>
    </w:p>
    <w:p>
      <w:pPr>
        <w:pStyle w:val="BodyText"/>
        <w:spacing w:line="276" w:lineRule="auto" w:before="218"/>
        <w:ind w:left="114" w:right="7373"/>
      </w:pPr>
      <w:r>
        <w:rPr/>
        <w:t>Bachelor of Architecture (B.Arch) University of California, Berkeley </w:t>
      </w:r>
      <w:r>
        <w:rPr>
          <w:w w:val="85"/>
        </w:rPr>
        <w:t>| </w:t>
      </w:r>
      <w:r>
        <w:rPr>
          <w:spacing w:val="-4"/>
        </w:rPr>
        <w:t>2013</w:t>
      </w:r>
    </w:p>
    <w:sectPr>
      <w:type w:val="continuous"/>
      <w:pgSz w:w="11920" w:h="16860"/>
      <w:pgMar w:top="56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1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4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2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53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2026-02-17T01:25:25Z</dcterms:created>
  <dcterms:modified xsi:type="dcterms:W3CDTF">2026-02-17T01:25:25Z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