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8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E360C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9"/>
                              <w:rPr>
                                <w:rFonts w:ascii="Times New Roman"/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7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34.5pt;mso-position-horizontal-relative:char;mso-position-vertical-relative:line" type="#_x0000_t202" id="docshape1" filled="true" fillcolor="#e360ca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9"/>
                        <w:rPr>
                          <w:rFonts w:ascii="Times New Roman"/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mc:AlternateContent>
          <mc:Choice Requires="wps">
            <w:drawing>
              <wp:inline distT="0" distB="0" distL="0" distR="0">
                <wp:extent cx="4653915" cy="3238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3238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6"/>
                              <w:ind w:left="357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E360CA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E360CA"/>
                                <w:spacing w:val="29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E360CA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25.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6"/>
                        <w:ind w:left="357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E360CA"/>
                          <w:sz w:val="18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E360CA"/>
                          <w:spacing w:val="29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E360CA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position w:val="18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7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352427</wp:posOffset>
            </wp:positionH>
            <wp:positionV relativeFrom="paragraph">
              <wp:posOffset>-45062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(123)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line="266" w:lineRule="auto" w:before="39"/>
        <w:ind w:left="555" w:right="2377"/>
      </w:pPr>
      <w:r>
        <w:rPr/>
        <w:br w:type="column"/>
      </w:r>
      <w:r>
        <w:rPr/>
        <w:t>Commercial Property Manager </w:t>
      </w:r>
      <w:r>
        <w:rPr>
          <w:w w:val="85"/>
          <w:position w:val="1"/>
        </w:rPr>
        <w:t>|</w:t>
      </w:r>
      <w:r>
        <w:rPr>
          <w:position w:val="1"/>
        </w:rPr>
        <w:t> </w:t>
      </w:r>
      <w:r>
        <w:rPr/>
        <w:t>Horizon CRE, Phoenix, AZ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June 2016 </w:t>
      </w:r>
      <w:r>
        <w:rPr>
          <w:w w:val="155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  <w:cols w:num="2" w:equalWidth="0">
            <w:col w:w="2388" w:space="1521"/>
            <w:col w:w="8011"/>
          </w:cols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352442</wp:posOffset>
                </wp:positionH>
                <wp:positionV relativeFrom="paragraph">
                  <wp:posOffset>-64120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5.048824pt;width:17.7pt;height:20.350pt;mso-position-horizontal-relative:page;mso-position-vertical-relative:paragraph;z-index:15731712" id="docshape3" coordorigin="555,-101" coordsize="354,407" path="m790,-49l673,-49,732,-101,790,-49xm908,306l555,306,555,55,617,0,617,-49,846,-49,846,-28,638,-28,638,76,576,76,576,264,598,264,576,285,908,285,908,306xm795,160l773,160,825,114,825,-28,846,-28,846,0,908,55,908,76,887,76,795,160xm804,14l659,14,659,-7,804,-7,804,14xm804,55l659,55,659,35,804,35,804,55xm598,264l576,264,680,170,576,76,638,76,638,114,690,160,795,160,784,170,789,175,693,175,598,264xm804,97l659,97,659,76,804,76,804,97xm908,264l887,264,887,76,908,76,908,264xm908,285l887,285,770,175,789,175,887,264,908,264,908,28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352425</wp:posOffset>
            </wp:positionH>
            <wp:positionV relativeFrom="paragraph">
              <wp:posOffset>-45077</wp:posOffset>
            </wp:positionV>
            <wp:extent cx="224229" cy="219075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29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90"/>
        </w:rPr>
        <w:t>City,</w:t>
      </w:r>
      <w:r>
        <w:rPr>
          <w:spacing w:val="-4"/>
          <w:w w:val="90"/>
        </w:rPr>
        <w:t> </w:t>
      </w:r>
      <w:r>
        <w:rPr>
          <w:spacing w:val="-5"/>
        </w:rPr>
        <w:t>ST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</w:tabs>
        <w:spacing w:line="342" w:lineRule="exact" w:before="0" w:after="0"/>
        <w:ind w:left="850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position w:val="1"/>
          <w:sz w:val="18"/>
        </w:rPr>
        <w:t>Managed</w:t>
      </w:r>
      <w:r>
        <w:rPr>
          <w:spacing w:val="33"/>
          <w:position w:val="1"/>
          <w:sz w:val="18"/>
        </w:rPr>
        <w:t> </w:t>
      </w:r>
      <w:r>
        <w:rPr>
          <w:position w:val="1"/>
          <w:sz w:val="18"/>
        </w:rPr>
        <w:t>500K</w:t>
      </w:r>
      <w:r>
        <w:rPr>
          <w:spacing w:val="34"/>
          <w:position w:val="1"/>
          <w:sz w:val="18"/>
        </w:rPr>
        <w:t> </w:t>
      </w:r>
      <w:r>
        <w:rPr>
          <w:position w:val="1"/>
          <w:sz w:val="18"/>
        </w:rPr>
        <w:t>sq.</w:t>
      </w:r>
      <w:r>
        <w:rPr>
          <w:spacing w:val="34"/>
          <w:position w:val="1"/>
          <w:sz w:val="18"/>
        </w:rPr>
        <w:t> </w:t>
      </w:r>
      <w:r>
        <w:rPr>
          <w:position w:val="1"/>
          <w:sz w:val="18"/>
        </w:rPr>
        <w:t>ft.</w:t>
      </w:r>
      <w:r>
        <w:rPr>
          <w:spacing w:val="33"/>
          <w:position w:val="1"/>
          <w:sz w:val="18"/>
        </w:rPr>
        <w:t> </w:t>
      </w:r>
      <w:r>
        <w:rPr>
          <w:position w:val="1"/>
          <w:sz w:val="18"/>
        </w:rPr>
        <w:t>of</w:t>
      </w:r>
      <w:r>
        <w:rPr>
          <w:spacing w:val="34"/>
          <w:position w:val="1"/>
          <w:sz w:val="18"/>
        </w:rPr>
        <w:t> </w:t>
      </w:r>
      <w:r>
        <w:rPr>
          <w:position w:val="1"/>
          <w:sz w:val="18"/>
        </w:rPr>
        <w:t>mixed-use</w:t>
      </w:r>
      <w:r>
        <w:rPr>
          <w:spacing w:val="34"/>
          <w:position w:val="1"/>
          <w:sz w:val="18"/>
        </w:rPr>
        <w:t> </w:t>
      </w:r>
      <w:r>
        <w:rPr>
          <w:position w:val="1"/>
          <w:sz w:val="18"/>
        </w:rPr>
        <w:t>commercial</w:t>
      </w:r>
      <w:r>
        <w:rPr>
          <w:spacing w:val="34"/>
          <w:position w:val="1"/>
          <w:sz w:val="18"/>
        </w:rPr>
        <w:t> </w:t>
      </w:r>
      <w:r>
        <w:rPr>
          <w:spacing w:val="-4"/>
          <w:position w:val="1"/>
          <w:sz w:val="18"/>
        </w:rPr>
        <w:t>space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</w:tabs>
        <w:spacing w:line="330" w:lineRule="exact" w:before="0" w:after="0"/>
        <w:ind w:left="850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Negotiated</w:t>
      </w:r>
      <w:r>
        <w:rPr>
          <w:spacing w:val="21"/>
          <w:sz w:val="18"/>
        </w:rPr>
        <w:t> </w:t>
      </w:r>
      <w:r>
        <w:rPr>
          <w:sz w:val="18"/>
        </w:rPr>
        <w:t>lease</w:t>
      </w:r>
      <w:r>
        <w:rPr>
          <w:spacing w:val="22"/>
          <w:sz w:val="18"/>
        </w:rPr>
        <w:t> </w:t>
      </w:r>
      <w:r>
        <w:rPr>
          <w:sz w:val="18"/>
        </w:rPr>
        <w:t>renewals,</w:t>
      </w:r>
      <w:r>
        <w:rPr>
          <w:spacing w:val="22"/>
          <w:sz w:val="18"/>
        </w:rPr>
        <w:t> </w:t>
      </w:r>
      <w:r>
        <w:rPr>
          <w:sz w:val="18"/>
        </w:rPr>
        <w:t>resulting</w:t>
      </w:r>
      <w:r>
        <w:rPr>
          <w:spacing w:val="22"/>
          <w:sz w:val="18"/>
        </w:rPr>
        <w:t> </w:t>
      </w:r>
      <w:r>
        <w:rPr>
          <w:sz w:val="18"/>
        </w:rPr>
        <w:t>in</w:t>
      </w:r>
      <w:r>
        <w:rPr>
          <w:spacing w:val="21"/>
          <w:sz w:val="18"/>
        </w:rPr>
        <w:t> </w:t>
      </w:r>
      <w:r>
        <w:rPr>
          <w:sz w:val="18"/>
        </w:rPr>
        <w:t>a</w:t>
      </w:r>
      <w:r>
        <w:rPr>
          <w:spacing w:val="22"/>
          <w:sz w:val="18"/>
        </w:rPr>
        <w:t> </w:t>
      </w:r>
      <w:r>
        <w:rPr>
          <w:sz w:val="18"/>
        </w:rPr>
        <w:t>20%</w:t>
      </w:r>
      <w:r>
        <w:rPr>
          <w:spacing w:val="22"/>
          <w:sz w:val="18"/>
        </w:rPr>
        <w:t> </w:t>
      </w:r>
      <w:r>
        <w:rPr>
          <w:sz w:val="18"/>
        </w:rPr>
        <w:t>increase</w:t>
      </w:r>
      <w:r>
        <w:rPr>
          <w:spacing w:val="22"/>
          <w:sz w:val="18"/>
        </w:rPr>
        <w:t> </w:t>
      </w:r>
      <w:r>
        <w:rPr>
          <w:sz w:val="18"/>
        </w:rPr>
        <w:t>in</w:t>
      </w:r>
      <w:r>
        <w:rPr>
          <w:spacing w:val="21"/>
          <w:sz w:val="18"/>
        </w:rPr>
        <w:t> </w:t>
      </w:r>
      <w:r>
        <w:rPr>
          <w:sz w:val="18"/>
        </w:rPr>
        <w:t>rental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income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</w:tabs>
        <w:spacing w:line="343" w:lineRule="exact" w:before="0" w:after="0"/>
        <w:ind w:left="850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Led</w:t>
      </w:r>
      <w:r>
        <w:rPr>
          <w:spacing w:val="22"/>
          <w:sz w:val="18"/>
        </w:rPr>
        <w:t> </w:t>
      </w:r>
      <w:r>
        <w:rPr>
          <w:sz w:val="18"/>
        </w:rPr>
        <w:t>capital</w:t>
      </w:r>
      <w:r>
        <w:rPr>
          <w:spacing w:val="22"/>
          <w:sz w:val="18"/>
        </w:rPr>
        <w:t> </w:t>
      </w:r>
      <w:r>
        <w:rPr>
          <w:sz w:val="18"/>
        </w:rPr>
        <w:t>improvement</w:t>
      </w:r>
      <w:r>
        <w:rPr>
          <w:spacing w:val="23"/>
          <w:sz w:val="18"/>
        </w:rPr>
        <w:t> </w:t>
      </w:r>
      <w:r>
        <w:rPr>
          <w:sz w:val="18"/>
        </w:rPr>
        <w:t>projects</w:t>
      </w:r>
      <w:r>
        <w:rPr>
          <w:spacing w:val="22"/>
          <w:sz w:val="18"/>
        </w:rPr>
        <w:t> </w:t>
      </w:r>
      <w:r>
        <w:rPr>
          <w:sz w:val="18"/>
        </w:rPr>
        <w:t>totaling</w:t>
      </w:r>
      <w:r>
        <w:rPr>
          <w:spacing w:val="23"/>
          <w:sz w:val="18"/>
        </w:rPr>
        <w:t> </w:t>
      </w:r>
      <w:r>
        <w:rPr>
          <w:spacing w:val="-4"/>
          <w:sz w:val="18"/>
        </w:rPr>
        <w:t>$2.1M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2856" w:space="1369"/>
            <w:col w:w="7695"/>
          </w:cols>
        </w:sectPr>
      </w:pPr>
    </w:p>
    <w:p>
      <w:pPr>
        <w:pStyle w:val="BodyText"/>
        <w:spacing w:line="266" w:lineRule="auto" w:before="29"/>
        <w:ind w:left="4463" w:right="2319"/>
      </w:pPr>
      <w:r>
        <w:rPr/>
        <w:t>Facilities Coordinator </w:t>
      </w:r>
      <w:r>
        <w:rPr>
          <w:w w:val="85"/>
          <w:position w:val="1"/>
        </w:rPr>
        <w:t>| </w:t>
      </w:r>
      <w:r>
        <w:rPr/>
        <w:t>Jamison Retail Group, Phoenix, AZ </w:t>
      </w:r>
      <w:r>
        <w:rPr>
          <w:w w:val="85"/>
          <w:position w:val="1"/>
        </w:rPr>
        <w:t>| </w:t>
      </w:r>
      <w:r>
        <w:rPr/>
        <w:t>May</w:t>
      </w:r>
      <w:r>
        <w:rPr>
          <w:spacing w:val="40"/>
        </w:rPr>
        <w:t> </w:t>
      </w:r>
      <w:r>
        <w:rPr/>
        <w:t>2013</w:t>
      </w:r>
      <w:r>
        <w:rPr>
          <w:w w:val="155"/>
        </w:rPr>
        <w:t> – </w:t>
      </w:r>
      <w:r>
        <w:rPr/>
        <w:t>May</w:t>
      </w:r>
      <w:r>
        <w:rPr>
          <w:spacing w:val="40"/>
        </w:rPr>
        <w:t> </w:t>
      </w:r>
      <w:r>
        <w:rPr/>
        <w:t>2016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</w:sectPr>
      </w:pPr>
    </w:p>
    <w:p>
      <w:pPr>
        <w:spacing w:line="240" w:lineRule="auto"/>
        <w:ind w:left="0" w:right="-245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E360C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2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4.5pt;mso-position-horizontal-relative:char;mso-position-vertical-relative:line" type="#_x0000_t202" id="docshape4" filled="true" fillcolor="#e360ca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12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Asset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CAM</w:t>
      </w:r>
      <w:r>
        <w:rPr>
          <w:spacing w:val="47"/>
          <w:w w:val="105"/>
          <w:sz w:val="18"/>
        </w:rPr>
        <w:t> </w:t>
      </w:r>
      <w:r>
        <w:rPr>
          <w:spacing w:val="-2"/>
          <w:w w:val="105"/>
          <w:sz w:val="18"/>
        </w:rPr>
        <w:t>reconciliation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Commercial</w:t>
      </w:r>
      <w:r>
        <w:rPr>
          <w:spacing w:val="47"/>
          <w:sz w:val="18"/>
        </w:rPr>
        <w:t> </w:t>
      </w:r>
      <w:r>
        <w:rPr>
          <w:sz w:val="18"/>
        </w:rPr>
        <w:t>lease</w:t>
      </w:r>
      <w:r>
        <w:rPr>
          <w:spacing w:val="48"/>
          <w:sz w:val="18"/>
        </w:rPr>
        <w:t> </w:t>
      </w:r>
      <w:r>
        <w:rPr>
          <w:spacing w:val="-2"/>
          <w:sz w:val="18"/>
        </w:rPr>
        <w:t>negotiation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Facility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Retail</w:t>
      </w:r>
      <w:r>
        <w:rPr>
          <w:spacing w:val="8"/>
          <w:sz w:val="18"/>
        </w:rPr>
        <w:t> </w:t>
      </w:r>
      <w:r>
        <w:rPr>
          <w:sz w:val="18"/>
        </w:rPr>
        <w:t>property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oversight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Risk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Vendor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relations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126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properties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served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tenant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liaison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Oversaw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contracts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tenant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buildouts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461" w:space="761"/>
            <w:col w:w="7698"/>
          </w:cols>
        </w:sectPr>
      </w:pPr>
    </w:p>
    <w:p>
      <w:pPr>
        <w:pStyle w:val="BodyText"/>
        <w:spacing w:before="13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209800"/>
                                </a:moveTo>
                                <a:lnTo>
                                  <a:pt x="0" y="2209800"/>
                                </a:lnTo>
                                <a:lnTo>
                                  <a:pt x="0" y="2505075"/>
                                </a:lnTo>
                                <a:lnTo>
                                  <a:pt x="4901184" y="2505075"/>
                                </a:lnTo>
                                <a:lnTo>
                                  <a:pt x="4901184" y="22098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828912"/>
                                </a:lnTo>
                                <a:lnTo>
                                  <a:pt x="0" y="2828912"/>
                                </a:lnTo>
                                <a:lnTo>
                                  <a:pt x="0" y="883918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50507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1933575"/>
                          </a:xfrm>
                          <a:prstGeom prst="rect">
                            <a:avLst/>
                          </a:pr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line="1195" w:lineRule="exact" w:before="330"/>
                                <w:ind w:left="873" w:right="0" w:firstLine="0"/>
                                <w:jc w:val="left"/>
                                <w:rPr>
                                  <w:rFonts w:ascii="Microsoft JhengHei"/>
                                  <w:color w:val="000000"/>
                                  <w:sz w:val="7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E360CA"/>
                                  <w:spacing w:val="14"/>
                                  <w:sz w:val="70"/>
                                </w:rPr>
                                <w:t>Skyler</w:t>
                              </w:r>
                              <w:r>
                                <w:rPr>
                                  <w:rFonts w:ascii="Arial"/>
                                  <w:b/>
                                  <w:color w:val="E360CA"/>
                                  <w:spacing w:val="39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Microsoft JhengHei"/>
                                  <w:color w:val="E360CA"/>
                                  <w:spacing w:val="5"/>
                                  <w:sz w:val="70"/>
                                </w:rPr>
                                <w:t>Lewis</w:t>
                              </w:r>
                            </w:p>
                            <w:p>
                              <w:pPr>
                                <w:spacing w:line="192" w:lineRule="exact" w:before="0"/>
                                <w:ind w:left="873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E360CA"/>
                                  <w:w w:val="105"/>
                                  <w:sz w:val="18"/>
                                </w:rPr>
                                <w:t>Commercial</w:t>
                              </w:r>
                              <w:r>
                                <w:rPr>
                                  <w:rFonts w:ascii="Arial"/>
                                  <w:b/>
                                  <w:color w:val="E360CA"/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E360CA"/>
                                  <w:w w:val="105"/>
                                  <w:sz w:val="18"/>
                                </w:rPr>
                                <w:t>Property</w:t>
                              </w:r>
                              <w:r>
                                <w:rPr>
                                  <w:rFonts w:ascii="Arial"/>
                                  <w:b/>
                                  <w:color w:val="E360CA"/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E360CA"/>
                                  <w:spacing w:val="-2"/>
                                  <w:w w:val="105"/>
                                  <w:sz w:val="18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157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Commercial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Property</w:t>
                              </w:r>
                              <w:r>
                                <w:rPr>
                                  <w:b/>
                                  <w:color w:val="000000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Manager</w:t>
                              </w:r>
                              <w:r>
                                <w:rPr>
                                  <w:b/>
                                  <w:color w:val="000000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expertise</w:t>
                              </w:r>
                              <w:r>
                                <w:rPr>
                                  <w:b/>
                                  <w:color w:val="000000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000000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tenant</w:t>
                              </w:r>
                              <w:r>
                                <w:rPr>
                                  <w:b/>
                                  <w:color w:val="000000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coordination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facilities</w:t>
                              </w:r>
                              <w:r>
                                <w:rPr>
                                  <w:b/>
                                  <w:color w:val="000000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16"/>
                                </w:rPr>
                                <w:t>management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684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color w:val="000000"/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9</w:t>
                              </w:r>
                              <w:r>
                                <w:rPr>
                                  <w:color w:val="000000"/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managing</w:t>
                              </w:r>
                              <w:r>
                                <w:rPr>
                                  <w:color w:val="000000"/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office</w:t>
                              </w:r>
                              <w:r>
                                <w:rPr>
                                  <w:color w:val="000000"/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parks</w:t>
                              </w:r>
                              <w:r>
                                <w:rPr>
                                  <w:color w:val="000000"/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retail</w:t>
                              </w:r>
                              <w:r>
                                <w:rPr>
                                  <w:color w:val="000000"/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centers.</w:t>
                              </w:r>
                              <w:r>
                                <w:rPr>
                                  <w:color w:val="000000"/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000000"/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tenant</w:t>
                              </w:r>
                              <w:r>
                                <w:rPr>
                                  <w:color w:val="000000"/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improvement</w:t>
                              </w:r>
                              <w:r>
                                <w:rPr>
                                  <w:color w:val="000000"/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coordination,</w:t>
                              </w:r>
                              <w:r>
                                <w:rPr>
                                  <w:color w:val="000000"/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lease</w:t>
                              </w:r>
                              <w:r>
                                <w:rPr>
                                  <w:color w:val="000000"/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negotiations, and capital planning.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4448" id="docshapegroup5" coordorigin="0,0" coordsize="11919,16858">
                <v:shape style="position:absolute;left:4199;top:0;width:7719;height:16858" id="docshape6" coordorigin="4200,0" coordsize="7719,16858" path="m11918,3480l4200,3480,4200,3945,11918,3945,11918,3480xm11918,0l4200,0,4200,435,11918,435,11918,0xm11918,8360l11918,8360,11918,4455,4200,4455,4200,13920,4200,13920,4200,16858,11918,16858,11918,8360xe" filled="true" fillcolor="#f5f5f5" stroked="false">
                  <v:path arrowok="t"/>
                  <v:fill type="solid"/>
                </v:shape>
                <v:rect style="position:absolute;left:4200;top:3945;width:390;height:510" id="docshape7" filled="true" fillcolor="#e360ca" stroked="false">
                  <v:fill type="solid"/>
                </v:rect>
                <v:shape style="position:absolute;left:0;top:435;width:11919;height:3045" type="#_x0000_t202" id="docshape8" filled="true" fillcolor="#e360ca" stroked="false">
                  <v:textbox inset="0,0,0,0">
                    <w:txbxContent>
                      <w:p>
                        <w:pPr>
                          <w:spacing w:line="1195" w:lineRule="exact" w:before="330"/>
                          <w:ind w:left="873" w:right="0" w:firstLine="0"/>
                          <w:jc w:val="left"/>
                          <w:rPr>
                            <w:rFonts w:ascii="Microsoft JhengHei"/>
                            <w:color w:val="000000"/>
                            <w:sz w:val="70"/>
                          </w:rPr>
                        </w:pPr>
                        <w:r>
                          <w:rPr>
                            <w:rFonts w:ascii="Arial"/>
                            <w:b/>
                            <w:color w:val="E360CA"/>
                            <w:spacing w:val="14"/>
                            <w:sz w:val="70"/>
                          </w:rPr>
                          <w:t>Skyler</w:t>
                        </w:r>
                        <w:r>
                          <w:rPr>
                            <w:rFonts w:ascii="Arial"/>
                            <w:b/>
                            <w:color w:val="E360CA"/>
                            <w:spacing w:val="39"/>
                            <w:sz w:val="70"/>
                          </w:rPr>
                          <w:t> </w:t>
                        </w:r>
                        <w:r>
                          <w:rPr>
                            <w:rFonts w:ascii="Microsoft JhengHei"/>
                            <w:color w:val="E360CA"/>
                            <w:spacing w:val="5"/>
                            <w:sz w:val="70"/>
                          </w:rPr>
                          <w:t>Lewis</w:t>
                        </w:r>
                      </w:p>
                      <w:p>
                        <w:pPr>
                          <w:spacing w:line="192" w:lineRule="exact" w:before="0"/>
                          <w:ind w:left="873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360CA"/>
                            <w:w w:val="105"/>
                            <w:sz w:val="18"/>
                          </w:rPr>
                          <w:t>Commercial</w:t>
                        </w:r>
                        <w:r>
                          <w:rPr>
                            <w:rFonts w:ascii="Arial"/>
                            <w:b/>
                            <w:color w:val="E360CA"/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E360CA"/>
                            <w:w w:val="105"/>
                            <w:sz w:val="18"/>
                          </w:rPr>
                          <w:t>Property</w:t>
                        </w:r>
                        <w:r>
                          <w:rPr>
                            <w:rFonts w:ascii="Arial"/>
                            <w:b/>
                            <w:color w:val="E360CA"/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E360CA"/>
                            <w:spacing w:val="-2"/>
                            <w:w w:val="105"/>
                            <w:sz w:val="18"/>
                          </w:rPr>
                          <w:t>Manager</w:t>
                        </w:r>
                      </w:p>
                      <w:p>
                        <w:pPr>
                          <w:spacing w:before="157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sz w:val="16"/>
                          </w:rPr>
                          <w:t>Commercial</w:t>
                        </w:r>
                        <w:r>
                          <w:rPr>
                            <w:b/>
                            <w:color w:val="000000"/>
                            <w:spacing w:val="19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16"/>
                          </w:rPr>
                          <w:t>Property</w:t>
                        </w:r>
                        <w:r>
                          <w:rPr>
                            <w:b/>
                            <w:color w:val="000000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16"/>
                          </w:rPr>
                          <w:t>Manager</w:t>
                        </w:r>
                        <w:r>
                          <w:rPr>
                            <w:b/>
                            <w:color w:val="000000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16"/>
                          </w:rPr>
                          <w:t>expertise</w:t>
                        </w:r>
                        <w:r>
                          <w:rPr>
                            <w:b/>
                            <w:color w:val="000000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000000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16"/>
                          </w:rPr>
                          <w:t>tenant</w:t>
                        </w:r>
                        <w:r>
                          <w:rPr>
                            <w:b/>
                            <w:color w:val="000000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16"/>
                          </w:rPr>
                          <w:t>coordination</w:t>
                        </w:r>
                        <w:r>
                          <w:rPr>
                            <w:b/>
                            <w:color w:val="000000"/>
                            <w:spacing w:val="19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16"/>
                          </w:rPr>
                          <w:t>facilities</w:t>
                        </w:r>
                        <w:r>
                          <w:rPr>
                            <w:b/>
                            <w:color w:val="000000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16"/>
                          </w:rPr>
                          <w:t>management</w:t>
                        </w:r>
                      </w:p>
                      <w:p>
                        <w:pPr>
                          <w:spacing w:line="271" w:lineRule="auto" w:before="24"/>
                          <w:ind w:left="873" w:right="684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sz w:val="16"/>
                          </w:rPr>
                          <w:t>Over</w:t>
                        </w:r>
                        <w:r>
                          <w:rPr>
                            <w:color w:val="000000"/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9</w:t>
                        </w:r>
                        <w:r>
                          <w:rPr>
                            <w:color w:val="000000"/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managing</w:t>
                        </w:r>
                        <w:r>
                          <w:rPr>
                            <w:color w:val="000000"/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office</w:t>
                        </w:r>
                        <w:r>
                          <w:rPr>
                            <w:color w:val="000000"/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parks</w:t>
                        </w:r>
                        <w:r>
                          <w:rPr>
                            <w:color w:val="000000"/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retail</w:t>
                        </w:r>
                        <w:r>
                          <w:rPr>
                            <w:color w:val="000000"/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centers.</w:t>
                        </w:r>
                        <w:r>
                          <w:rPr>
                            <w:color w:val="000000"/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Skilled</w:t>
                        </w:r>
                        <w:r>
                          <w:rPr>
                            <w:color w:val="000000"/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tenant</w:t>
                        </w:r>
                        <w:r>
                          <w:rPr>
                            <w:color w:val="000000"/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improvement</w:t>
                        </w:r>
                        <w:r>
                          <w:rPr>
                            <w:color w:val="000000"/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coordination,</w:t>
                        </w:r>
                        <w:r>
                          <w:rPr>
                            <w:color w:val="000000"/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lease</w:t>
                        </w:r>
                        <w:r>
                          <w:rPr>
                            <w:color w:val="000000"/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negotiations, and capital planning.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47675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447675"/>
                        </a:xfrm>
                        <a:prstGeom prst="rect">
                          <a:avLst/>
                        </a:prstGeom>
                        <a:solidFill>
                          <a:srgbClr val="E360C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7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5.25pt;mso-position-horizontal-relative:char;mso-position-vertical-relative:line" type="#_x0000_t202" id="docshape9" filled="true" fillcolor="#e360ca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7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</w:pPr>
    </w:p>
    <w:p>
      <w:pPr>
        <w:pStyle w:val="BodyText"/>
        <w:spacing w:line="259" w:lineRule="auto" w:before="1"/>
        <w:ind w:left="557" w:right="8388"/>
      </w:pPr>
      <w:r>
        <w:rPr>
          <w:w w:val="105"/>
        </w:rPr>
        <w:t>Bachelor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Science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Facility </w:t>
      </w:r>
      <w:r>
        <w:rPr>
          <w:spacing w:val="-2"/>
          <w:w w:val="105"/>
        </w:rPr>
        <w:t>Management</w:t>
      </w:r>
    </w:p>
    <w:p>
      <w:pPr>
        <w:pStyle w:val="BodyText"/>
        <w:spacing w:before="89"/>
      </w:pPr>
    </w:p>
    <w:p>
      <w:pPr>
        <w:pStyle w:val="BodyText"/>
        <w:spacing w:line="276" w:lineRule="auto"/>
        <w:ind w:left="557" w:right="8388"/>
      </w:pPr>
      <w:r>
        <w:rPr/>
        <w:t>Arizona State University </w:t>
      </w:r>
      <w:r>
        <w:rPr>
          <w:w w:val="90"/>
        </w:rPr>
        <w:t>| </w:t>
      </w:r>
      <w:r>
        <w:rPr/>
        <w:t>Graduated: May 2012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2026-02-15T11:57:08Z</dcterms:created>
  <dcterms:modified xsi:type="dcterms:W3CDTF">2026-02-15T11:57:08Z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