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0"/>
        <w:rPr>
          <w:rFonts w:ascii="Times New Roman"/>
        </w:rPr>
      </w:pPr>
    </w:p>
    <w:p>
      <w:pPr>
        <w:pStyle w:val="BodyText"/>
        <w:spacing w:before="1"/>
        <w:ind w:left="357"/>
        <w:jc w:val="center"/>
      </w:pPr>
      <w:r>
        <w:rPr>
          <w:spacing w:val="-2"/>
        </w:rPr>
        <w:t>SEPTEMBER</w:t>
      </w:r>
      <w:r>
        <w:rPr>
          <w:spacing w:val="-9"/>
        </w:rPr>
        <w:t> </w:t>
      </w:r>
      <w:r>
        <w:rPr>
          <w:spacing w:val="-2"/>
        </w:rPr>
        <w:t>2015</w:t>
      </w:r>
      <w:r>
        <w:rPr>
          <w:spacing w:val="-9"/>
        </w:rPr>
        <w:t> </w:t>
      </w:r>
      <w:r>
        <w:rPr>
          <w:spacing w:val="-2"/>
        </w:rPr>
        <w:t>–</w:t>
      </w:r>
      <w:r>
        <w:rPr>
          <w:spacing w:val="-9"/>
        </w:rPr>
        <w:t> </w:t>
      </w:r>
      <w:r>
        <w:rPr>
          <w:spacing w:val="-2"/>
        </w:rPr>
        <w:t>FEBRUARY</w:t>
      </w:r>
      <w:r>
        <w:rPr>
          <w:spacing w:val="-9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jc w:val="center"/>
        <w:sectPr>
          <w:type w:val="continuous"/>
          <w:pgSz w:w="11920" w:h="16860"/>
          <w:pgMar w:top="1920" w:bottom="280" w:left="566" w:right="1133"/>
        </w:sectPr>
      </w:pPr>
    </w:p>
    <w:p>
      <w:pPr>
        <w:pStyle w:val="BodyText"/>
        <w:spacing w:before="174"/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Audit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CAPA</w:t>
      </w:r>
      <w:r>
        <w:rPr>
          <w:color w:val="F5F5F5"/>
          <w:spacing w:val="-11"/>
          <w:sz w:val="18"/>
        </w:rPr>
        <w:t> </w:t>
      </w:r>
      <w:r>
        <w:rPr>
          <w:color w:val="F5F5F5"/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Compliance</w:t>
      </w:r>
      <w:r>
        <w:rPr>
          <w:color w:val="F5F5F5"/>
          <w:spacing w:val="20"/>
          <w:sz w:val="18"/>
        </w:rPr>
        <w:t> </w:t>
      </w:r>
      <w:r>
        <w:rPr>
          <w:color w:val="F5F5F5"/>
          <w:spacing w:val="-2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51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FDA/GxP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194" w:after="0"/>
        <w:ind w:left="382" w:right="6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(QMS)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conducted compliance checks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43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Reviewed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approved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deviation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change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requests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Participated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boards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1920" w:bottom="280" w:left="566" w:right="1133"/>
          <w:cols w:num="2" w:equalWidth="0">
            <w:col w:w="2675" w:space="1193"/>
            <w:col w:w="6353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66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417434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417434" cy="10706100"/>
                          <a:chExt cx="7417434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76524"/>
                            <a:ext cx="2409825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8029575">
                                <a:moveTo>
                                  <a:pt x="2409812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8029562"/>
                                </a:lnTo>
                                <a:lnTo>
                                  <a:pt x="2409812" y="8029562"/>
                                </a:lnTo>
                                <a:lnTo>
                                  <a:pt x="2409812" y="2028825"/>
                                </a:lnTo>
                                <a:close/>
                              </a:path>
                              <a:path w="2409825" h="80295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600"/>
                                </a:lnTo>
                                <a:lnTo>
                                  <a:pt x="2409812" y="17526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3526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682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6829425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829425"/>
                                </a:lnTo>
                                <a:lnTo>
                                  <a:pt x="2409812" y="6829425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6829425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682942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5050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075" h="276225">
                                <a:moveTo>
                                  <a:pt x="25050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05074" y="0"/>
                                </a:lnTo>
                                <a:lnTo>
                                  <a:pt x="25050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4" y="352424"/>
                            <a:ext cx="1628774" cy="1628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2652266" y="712536"/>
                            <a:ext cx="4615180" cy="1522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30" w:lineRule="exact" w:before="0"/>
                                <w:ind w:left="4" w:right="18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C36531"/>
                                  <w:sz w:val="74"/>
                                </w:rPr>
                                <w:t>Shawn</w:t>
                              </w:r>
                              <w:r>
                                <w:rPr>
                                  <w:b/>
                                  <w:color w:val="C36531"/>
                                  <w:spacing w:val="-3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B45D08"/>
                                  <w:spacing w:val="-4"/>
                                  <w:sz w:val="74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207"/>
                                <w:ind w:left="4" w:right="18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C36531"/>
                                  <w:sz w:val="22"/>
                                </w:rPr>
                                <w:t>QA</w:t>
                              </w:r>
                              <w:r>
                                <w:rPr>
                                  <w:b/>
                                  <w:color w:val="C36531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36531"/>
                                  <w:sz w:val="22"/>
                                </w:rPr>
                                <w:t>Compliance</w:t>
                              </w:r>
                              <w:r>
                                <w:rPr>
                                  <w:b/>
                                  <w:color w:val="C36531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36531"/>
                                  <w:spacing w:val="-2"/>
                                  <w:sz w:val="22"/>
                                </w:rPr>
                                <w:t>Analyst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0" w:right="18" w:firstLine="0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C36531"/>
                                  <w:w w:val="105"/>
                                  <w:sz w:val="16"/>
                                </w:rPr>
                                <w:t>QA Compliance Analyst with 8 years of experience monitoring quality systems and ensuring</w:t>
                              </w:r>
                              <w:r>
                                <w:rPr>
                                  <w:color w:val="C36531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36531"/>
                                  <w:w w:val="105"/>
                                  <w:sz w:val="16"/>
                                </w:rPr>
                                <w:t>compliance with internal and regulatory standards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0" w:right="18" w:firstLine="0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C36531"/>
                                  <w:w w:val="105"/>
                                  <w:sz w:val="16"/>
                                </w:rPr>
                                <w:t>Specializes in quality audits, document control, and risk mitigation. Known for cross-functional</w:t>
                              </w:r>
                              <w:r>
                                <w:rPr>
                                  <w:color w:val="C36531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36531"/>
                                  <w:w w:val="105"/>
                                  <w:sz w:val="16"/>
                                </w:rPr>
                                <w:t>collaboration with QA, regulatory, and production teams to improve compliance and reduce</w:t>
                              </w:r>
                              <w:r>
                                <w:rPr>
                                  <w:color w:val="C36531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36531"/>
                                  <w:spacing w:val="-2"/>
                                  <w:w w:val="105"/>
                                  <w:sz w:val="16"/>
                                </w:rPr>
                                <w:t>defects.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47947" y="2472138"/>
                            <a:ext cx="188023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657326" y="2643588"/>
                            <a:ext cx="4759960" cy="603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C36531"/>
                                  <w:sz w:val="22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C36531"/>
                                  <w:spacing w:val="6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C36531"/>
                                  <w:spacing w:val="-2"/>
                                  <w:sz w:val="22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40" w:lineRule="auto" w:before="41"/>
                                <w:rPr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QA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COMPLIANCE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ANALYST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HEALTHGRID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PHARMACEUTICALS</w:t>
                              </w:r>
                              <w:r>
                                <w:rPr>
                                  <w:spacing w:val="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INDIANAPOLIS,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IN</w:t>
                              </w:r>
                            </w:p>
                            <w:p>
                              <w:pPr>
                                <w:spacing w:before="18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869703" y="3342482"/>
                            <a:ext cx="83185" cy="643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9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43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566" y="3414255"/>
                            <a:ext cx="3948429" cy="680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Led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internal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audit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reviews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compliance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FDA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GxP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guidelines</w:t>
                              </w:r>
                            </w:p>
                            <w:p>
                              <w:pPr>
                                <w:spacing w:before="10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Reduced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audit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ﬁndings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by</w:t>
                              </w:r>
                              <w:r>
                                <w:rPr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30%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through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pre-inspection</w:t>
                              </w:r>
                              <w:r>
                                <w:rPr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readiness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planning</w:t>
                              </w:r>
                            </w:p>
                            <w:p>
                              <w:pPr>
                                <w:spacing w:line="278" w:lineRule="auto" w:before="9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Managed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CAPA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documentation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tracked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resolution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progress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across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departments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16262" y="4319127"/>
                            <a:ext cx="293243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QA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SPECIALIST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MEDCORE</w:t>
                              </w:r>
                              <w:r>
                                <w:rPr>
                                  <w:spacing w:val="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LABS</w:t>
                              </w:r>
                              <w:r>
                                <w:rPr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CINCINNATI,</w:t>
                              </w:r>
                              <w:r>
                                <w:rPr>
                                  <w:spacing w:val="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OH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720328" y="3652377"/>
                            <a:ext cx="988694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Portfolio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720328" y="3271377"/>
                            <a:ext cx="95250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4.050pt;height:843pt;mso-position-horizontal-relative:page;mso-position-vertical-relative:page;z-index:-15799296" id="docshapegroup1" coordorigin="0,0" coordsize="11681,16860">
                <v:shape style="position:absolute;left:0;top:4215;width:3795;height:12645" id="docshape2" coordorigin="0,4215" coordsize="3795,12645" path="m3795,7410l0,7410,0,16860,3795,16860,3795,7410xm3795,4215l0,4215,0,6975,3795,6975,3795,4215xe" filled="true" fillcolor="#c36531" stroked="false">
                  <v:path arrowok="t"/>
                  <v:fill type="solid"/>
                </v:shape>
                <v:rect style="position:absolute;left:3945;top:3705;width:7545;height:30" id="docshape3" filled="true" fillcolor="#000000" stroked="false">
                  <v:fill opacity="28783f" type="solid"/>
                </v:rect>
                <v:shape style="position:absolute;left:0;top:0;width:3795;height:10755" id="docshape4" coordorigin="0,0" coordsize="3795,10755" path="m3795,7410l0,7410,0,10755,3795,10755,3795,7410xm3795,4215l0,4215,0,6975,3795,6975,3795,4215xm3795,0l0,0,0,3780,3795,3780,3795,0xe" filled="true" fillcolor="#c36531" stroked="false">
                  <v:path arrowok="t"/>
                  <v:fill type="solid"/>
                </v:shape>
                <v:rect style="position:absolute;left:0;top:3780;width:3945;height:435" id="docshape5" filled="true" fillcolor="#e78f36" stroked="false">
                  <v:fill type="solid"/>
                </v:rect>
                <v:shape style="position:absolute;left:645;top:4485;width:317;height:317" type="#_x0000_t75" id="docshape6" stroked="false">
                  <v:imagedata r:id="rId5" o:title=""/>
                </v:shape>
                <v:shape style="position:absolute;left:645;top:5055;width:317;height:365" type="#_x0000_t75" id="docshape7" stroked="false">
                  <v:imagedata r:id="rId6" o:title=""/>
                </v:shape>
                <v:shape style="position:absolute;left:645;top:5706;width:317;height:274" type="#_x0000_t75" id="docshape8" stroked="false">
                  <v:imagedata r:id="rId7" o:title=""/>
                </v:shape>
                <v:shape style="position:absolute;left:645;top:6255;width:316;height:319" type="#_x0000_t75" id="docshape9" stroked="false">
                  <v:imagedata r:id="rId8" o:title=""/>
                </v:shape>
                <v:shape style="position:absolute;left:615;top:555;width:2565;height:2565" type="#_x0000_t75" id="docshape10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176;top:1122;width:7268;height:2397" type="#_x0000_t202" id="docshape11" filled="false" stroked="false">
                  <v:textbox inset="0,0,0,0">
                    <w:txbxContent>
                      <w:p>
                        <w:pPr>
                          <w:spacing w:line="730" w:lineRule="exact" w:before="0"/>
                          <w:ind w:left="4" w:right="18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C36531"/>
                            <w:sz w:val="74"/>
                          </w:rPr>
                          <w:t>Shawn</w:t>
                        </w:r>
                        <w:r>
                          <w:rPr>
                            <w:b/>
                            <w:color w:val="C36531"/>
                            <w:spacing w:val="-3"/>
                            <w:sz w:val="74"/>
                          </w:rPr>
                          <w:t> </w:t>
                        </w:r>
                        <w:r>
                          <w:rPr>
                            <w:b/>
                            <w:color w:val="B45D08"/>
                            <w:spacing w:val="-4"/>
                            <w:sz w:val="74"/>
                          </w:rPr>
                          <w:t>White</w:t>
                        </w:r>
                      </w:p>
                      <w:p>
                        <w:pPr>
                          <w:spacing w:before="207"/>
                          <w:ind w:left="4" w:right="18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36531"/>
                            <w:sz w:val="22"/>
                          </w:rPr>
                          <w:t>QA</w:t>
                        </w:r>
                        <w:r>
                          <w:rPr>
                            <w:b/>
                            <w:color w:val="C36531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C36531"/>
                            <w:sz w:val="22"/>
                          </w:rPr>
                          <w:t>Compliance</w:t>
                        </w:r>
                        <w:r>
                          <w:rPr>
                            <w:b/>
                            <w:color w:val="C36531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C36531"/>
                            <w:spacing w:val="-2"/>
                            <w:sz w:val="22"/>
                          </w:rPr>
                          <w:t>Analyst</w:t>
                        </w:r>
                      </w:p>
                      <w:p>
                        <w:pPr>
                          <w:spacing w:line="273" w:lineRule="auto" w:before="178"/>
                          <w:ind w:left="0" w:right="18" w:firstLine="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C36531"/>
                            <w:w w:val="105"/>
                            <w:sz w:val="16"/>
                          </w:rPr>
                          <w:t>QA Compliance Analyst with 8 years of experience monitoring quality systems and ensuring</w:t>
                        </w:r>
                        <w:r>
                          <w:rPr>
                            <w:color w:val="C36531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C36531"/>
                            <w:w w:val="105"/>
                            <w:sz w:val="16"/>
                          </w:rPr>
                          <w:t>compliance with internal and regulatory standards</w:t>
                        </w:r>
                      </w:p>
                      <w:p>
                        <w:pPr>
                          <w:spacing w:line="273" w:lineRule="auto" w:before="0"/>
                          <w:ind w:left="0" w:right="18" w:firstLine="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C36531"/>
                            <w:w w:val="105"/>
                            <w:sz w:val="16"/>
                          </w:rPr>
                          <w:t>Specializes in quality audits, document control, and risk mitigation. Known for cross-functional</w:t>
                        </w:r>
                        <w:r>
                          <w:rPr>
                            <w:color w:val="C36531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C36531"/>
                            <w:w w:val="105"/>
                            <w:sz w:val="16"/>
                          </w:rPr>
                          <w:t>collaboration with QA, regulatory, and production teams to improve compliance and reduce</w:t>
                        </w:r>
                        <w:r>
                          <w:rPr>
                            <w:color w:val="C36531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C36531"/>
                            <w:spacing w:val="-2"/>
                            <w:w w:val="105"/>
                            <w:sz w:val="16"/>
                          </w:rPr>
                          <w:t>defects.</w:t>
                        </w:r>
                      </w:p>
                    </w:txbxContent>
                  </v:textbox>
                  <w10:wrap type="none"/>
                </v:shape>
                <v:shape style="position:absolute;left:390;top:3893;width:2961;height:224" type="#_x0000_t202" id="docshape12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w10:wrap type="none"/>
                </v:shape>
                <v:shape style="position:absolute;left:4184;top:4163;width:7496;height:950" type="#_x0000_t202" id="docshape13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36531"/>
                            <w:sz w:val="22"/>
                          </w:rPr>
                          <w:t>PROFESSIONAL</w:t>
                        </w:r>
                        <w:r>
                          <w:rPr>
                            <w:b/>
                            <w:color w:val="C36531"/>
                            <w:spacing w:val="6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C36531"/>
                            <w:spacing w:val="-2"/>
                            <w:sz w:val="22"/>
                          </w:rPr>
                          <w:t>EXPERIENCE</w:t>
                        </w:r>
                      </w:p>
                      <w:p>
                        <w:pPr>
                          <w:spacing w:line="240" w:lineRule="auto" w:before="41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QA</w:t>
                        </w:r>
                        <w:r>
                          <w:rPr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COMPLIANCE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ANALYST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HEALTHGRID</w:t>
                        </w:r>
                        <w:r>
                          <w:rPr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PHARMACEUTICALS</w:t>
                        </w:r>
                        <w:r>
                          <w:rPr>
                            <w:spacing w:val="1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INDIANAPOLIS,</w:t>
                        </w:r>
                        <w:r>
                          <w:rPr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IN</w:t>
                        </w:r>
                      </w:p>
                      <w:p>
                        <w:pPr>
                          <w:spacing w:before="18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2020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–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519;top:5263;width:131;height:1014" type="#_x0000_t202" id="docshape14" filled="false" stroked="false">
                  <v:textbox inset="0,0,0,0">
                    <w:txbxContent>
                      <w:p>
                        <w:pPr>
                          <w:spacing w:line="339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43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816;top:5376;width:6218;height:1071" type="#_x0000_t202" id="docshape15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Led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internal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audit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reviews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for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compliance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FDA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GxP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guidelines</w:t>
                        </w:r>
                      </w:p>
                      <w:p>
                        <w:pPr>
                          <w:spacing w:before="10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Reduced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audit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ﬁndings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by</w:t>
                        </w:r>
                        <w:r>
                          <w:rPr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30%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through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pre-inspection</w:t>
                        </w:r>
                        <w:r>
                          <w:rPr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readiness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planning</w:t>
                        </w:r>
                      </w:p>
                      <w:p>
                        <w:pPr>
                          <w:spacing w:line="278" w:lineRule="auto" w:before="9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Managed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CAPA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documentation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tracked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resolution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progress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across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departments</w:t>
                        </w:r>
                      </w:p>
                    </w:txbxContent>
                  </v:textbox>
                  <w10:wrap type="none"/>
                </v:shape>
                <v:shape style="position:absolute;left:4277;top:6801;width:4618;height:186" type="#_x0000_t202" id="docshape16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QA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SPECIALIST</w:t>
                        </w:r>
                        <w:r>
                          <w:rPr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1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MEDCORE</w:t>
                        </w:r>
                        <w:r>
                          <w:rPr>
                            <w:spacing w:val="1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LABS</w:t>
                        </w:r>
                        <w:r>
                          <w:rPr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CINCINNATI,</w:t>
                        </w:r>
                        <w:r>
                          <w:rPr>
                            <w:spacing w:val="10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OH</w:t>
                        </w:r>
                      </w:p>
                    </w:txbxContent>
                  </v:textbox>
                  <w10:wrap type="none"/>
                </v:shape>
                <v:shape style="position:absolute;left:0;top:6975;width:3945;height:435" type="#_x0000_t202" id="docshape17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1557;height:756" type="#_x0000_t202" id="docshape1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Portfolio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500;height:186" type="#_x0000_t202" id="docshape1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2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Non-conformance</w:t>
      </w:r>
      <w:r>
        <w:rPr>
          <w:color w:val="F5F5F5"/>
          <w:spacing w:val="29"/>
          <w:sz w:val="18"/>
        </w:rPr>
        <w:t> </w:t>
      </w:r>
      <w:r>
        <w:rPr>
          <w:color w:val="F5F5F5"/>
          <w:spacing w:val="-2"/>
          <w:sz w:val="18"/>
        </w:rPr>
        <w:t>investigation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2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QA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risk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Quality</w:t>
      </w:r>
      <w:r>
        <w:rPr>
          <w:color w:val="F5F5F5"/>
          <w:spacing w:val="11"/>
          <w:sz w:val="18"/>
        </w:rPr>
        <w:t> </w:t>
      </w:r>
      <w:r>
        <w:rPr>
          <w:color w:val="F5F5F5"/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SOP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enforcement</w:t>
      </w:r>
    </w:p>
    <w:p>
      <w:pPr>
        <w:pStyle w:val="Heading1"/>
      </w:pPr>
      <w:r>
        <w:rPr>
          <w:b w:val="0"/>
        </w:rPr>
        <w:br w:type="column"/>
      </w:r>
      <w:r>
        <w:rPr>
          <w:color w:val="C36531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spacing w:line="261" w:lineRule="auto"/>
        <w:ind w:left="177" w:right="254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Regulatory</w:t>
      </w:r>
      <w:r>
        <w:rPr>
          <w:spacing w:val="-13"/>
          <w:w w:val="105"/>
        </w:rPr>
        <w:t> </w:t>
      </w:r>
      <w:r>
        <w:rPr>
          <w:w w:val="105"/>
        </w:rPr>
        <w:t>Affairs Indiana University | Bloomington, IN</w:t>
      </w:r>
    </w:p>
    <w:sectPr>
      <w:type w:val="continuous"/>
      <w:pgSz w:w="11920" w:h="16860"/>
      <w:pgMar w:top="1920" w:bottom="280" w:left="566" w:right="1133"/>
      <w:cols w:num="2" w:equalWidth="0">
        <w:col w:w="2985" w:space="549"/>
        <w:col w:w="6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19" w:lineRule="exact"/>
      <w:ind w:left="84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2026-02-28T23:29:40Z</dcterms:created>
  <dcterms:modified xsi:type="dcterms:W3CDTF">2026-02-28T23:29:40Z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