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4"/>
        </w:rPr>
      </w:pPr>
      <w:r>
        <w:rPr>
          <w:rFonts w:ascii="Times New Roman"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7743824"/>
                            <a:ext cx="5067935" cy="2961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2961005">
                                <a:moveTo>
                                  <a:pt x="0" y="2960751"/>
                                </a:moveTo>
                                <a:lnTo>
                                  <a:pt x="5067450" y="2960751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607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5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57450">
                                <a:moveTo>
                                  <a:pt x="7568183" y="2457449"/>
                                </a:moveTo>
                                <a:lnTo>
                                  <a:pt x="0" y="24574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57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457462"/>
                            <a:ext cx="5063490" cy="5286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286375">
                                <a:moveTo>
                                  <a:pt x="5063109" y="590537"/>
                                </a:moveTo>
                                <a:lnTo>
                                  <a:pt x="0" y="590537"/>
                                </a:lnTo>
                                <a:lnTo>
                                  <a:pt x="0" y="5286362"/>
                                </a:lnTo>
                                <a:lnTo>
                                  <a:pt x="5063109" y="5286362"/>
                                </a:lnTo>
                                <a:lnTo>
                                  <a:pt x="5063109" y="590537"/>
                                </a:lnTo>
                                <a:close/>
                              </a:path>
                              <a:path w="5063490" h="5286375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3044951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2775495" y="3260826"/>
                            <a:ext cx="4224655" cy="2914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6" w:lineRule="auto" w:before="0"/>
                                <w:ind w:left="0" w:right="18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Cybersecurity Counsel</w:t>
                              </w:r>
                              <w:r>
                                <w:rPr>
                                  <w:spacing w:val="4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85"/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40"/>
                                  <w:w w:val="105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RidgePoint</w:t>
                              </w:r>
                              <w:r>
                                <w:rPr>
                                  <w:spacing w:val="3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Security Law Group,</w:t>
                              </w:r>
                              <w:r>
                                <w:rPr>
                                  <w:spacing w:val="3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San</w:t>
                              </w:r>
                              <w:r>
                                <w:rPr>
                                  <w:spacing w:val="3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Francisco,</w:t>
                              </w:r>
                              <w:r>
                                <w:rPr>
                                  <w:spacing w:val="3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CA March 2020 </w:t>
                              </w:r>
                              <w:r>
                                <w:rPr>
                                  <w:w w:val="130"/>
                                  <w:sz w:val="18"/>
                                </w:rPr>
                                <w:t>–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3058864" y="3618707"/>
                            <a:ext cx="83185" cy="8724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4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3247727" y="3662453"/>
                            <a:ext cx="3691890" cy="7727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1" w:lineRule="auto" w:before="7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10"/>
                                  <w:sz w:val="16"/>
                                </w:rPr>
                                <w:t>Responded to over 40 data breaches, managing communications with regulators and affected consumers</w:t>
                              </w:r>
                            </w:p>
                            <w:p>
                              <w:pPr>
                                <w:spacing w:line="271" w:lineRule="auto" w:before="9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Drafted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internal</w:t>
                              </w:r>
                              <w:r>
                                <w:rPr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cybersecurity</w:t>
                              </w:r>
                              <w:r>
                                <w:rPr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policies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SaaS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companies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payment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processors</w:t>
                              </w:r>
                            </w:p>
                            <w:p>
                              <w:pPr>
                                <w:spacing w:before="9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Advised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on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international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data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transfers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regulatory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risk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775495" y="4680051"/>
                            <a:ext cx="3668395" cy="2914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6" w:lineRule="auto" w:before="0"/>
                                <w:ind w:left="0" w:right="18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Privacy Associate Attorney </w:t>
                              </w:r>
                              <w:r>
                                <w:rPr>
                                  <w:w w:val="85"/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w w:val="105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Hunt &amp; Brock LLP, San Francisco, CA September 2017 </w:t>
                              </w:r>
                              <w:r>
                                <w:rPr>
                                  <w:w w:val="130"/>
                                  <w:sz w:val="18"/>
                                </w:rPr>
                                <w:t>–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February 2020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058864" y="5037932"/>
                            <a:ext cx="83185" cy="2247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247727" y="5081678"/>
                            <a:ext cx="4116704" cy="1250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10"/>
                                  <w:sz w:val="16"/>
                                </w:rPr>
                                <w:t>Advised</w:t>
                              </w:r>
                              <w:r>
                                <w:rPr>
                                  <w:spacing w:val="5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clients</w:t>
                              </w:r>
                              <w:r>
                                <w:rPr>
                                  <w:spacing w:val="5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on</w:t>
                              </w:r>
                              <w:r>
                                <w:rPr>
                                  <w:spacing w:val="5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CCPA</w:t>
                              </w:r>
                              <w:r>
                                <w:rPr>
                                  <w:spacing w:val="-3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implementation</w:t>
                              </w:r>
                              <w:r>
                                <w:rPr>
                                  <w:spacing w:val="5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5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third-party</w:t>
                              </w:r>
                              <w:r>
                                <w:rPr>
                                  <w:spacing w:val="-5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vendor risk</w:t>
                              </w:r>
                              <w:r>
                                <w:rPr>
                                  <w:spacing w:val="5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10"/>
                                  <w:sz w:val="16"/>
                                </w:rPr>
                                <w:t>agreements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0" y="0"/>
                            <a:ext cx="7568565" cy="2581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32"/>
                                <w:ind w:left="3" w:right="12" w:firstLine="0"/>
                                <w:jc w:val="center"/>
                                <w:rPr>
                                  <w:rFonts w:ascii="Calibri"/>
                                  <w:sz w:val="7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11"/>
                                  <w:w w:val="130"/>
                                  <w:sz w:val="78"/>
                                </w:rPr>
                                <w:t>Jesse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51"/>
                                  <w:w w:val="150"/>
                                  <w:sz w:val="7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11"/>
                                  <w:w w:val="125"/>
                                  <w:sz w:val="78"/>
                                </w:rPr>
                                <w:t>Martin</w:t>
                              </w:r>
                            </w:p>
                            <w:p>
                              <w:pPr>
                                <w:spacing w:before="128"/>
                                <w:ind w:left="12" w:right="9" w:firstLine="0"/>
                                <w:jc w:val="center"/>
                                <w:rPr>
                                  <w:rFonts w:ascii="Calibri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25"/>
                                  <w:sz w:val="26"/>
                                </w:rPr>
                                <w:t>Cybersecurity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36"/>
                                  <w:w w:val="13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30"/>
                                  <w:sz w:val="26"/>
                                </w:rPr>
                                <w:t>Lawyer</w:t>
                              </w:r>
                            </w:p>
                            <w:p>
                              <w:pPr>
                                <w:spacing w:before="155"/>
                                <w:ind w:left="873" w:right="0" w:firstLine="0"/>
                                <w:jc w:val="lef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16"/>
                                </w:rPr>
                                <w:t>Cybersecurity</w:t>
                              </w:r>
                              <w:r>
                                <w:rPr>
                                  <w:b/>
                                  <w:color w:val="FFFFFF"/>
                                  <w:spacing w:val="1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16"/>
                                </w:rPr>
                                <w:t>attorney</w:t>
                              </w:r>
                              <w:r>
                                <w:rPr>
                                  <w:b/>
                                  <w:color w:val="FFFFFF"/>
                                  <w:spacing w:val="1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16"/>
                                </w:rPr>
                                <w:t>focused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16"/>
                                </w:rPr>
                                <w:t>on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16"/>
                                </w:rPr>
                                <w:t>data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16"/>
                                </w:rPr>
                                <w:t>protection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16"/>
                                </w:rPr>
                                <w:t>regulatory</w:t>
                              </w:r>
                              <w:r>
                                <w:rPr>
                                  <w:b/>
                                  <w:color w:val="FFFFFF"/>
                                  <w:spacing w:val="1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16"/>
                                </w:rPr>
                                <w:t>compliance</w:t>
                              </w:r>
                            </w:p>
                            <w:p>
                              <w:pPr>
                                <w:spacing w:line="271" w:lineRule="auto" w:before="24"/>
                                <w:ind w:left="873" w:right="938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Cybersecurity lawyer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with 6 years of experience supporting tech companies and financial institutions on data breach response, privacy policy drafting, and digital risk mitigation. Experienced in GDPR, CCPA, and incident response.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2324099" y="2581274"/>
                            <a:ext cx="5244465" cy="466725"/>
                          </a:xfrm>
                          <a:prstGeom prst="rect">
                            <a:avLst/>
                          </a:prstGeom>
                          <a:solidFill>
                            <a:srgbClr val="789C2F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70"/>
                                <w:ind w:left="636" w:right="0" w:firstLine="0"/>
                                <w:jc w:val="left"/>
                                <w:rPr>
                                  <w:rFonts w:ascii="Calibri"/>
                                  <w:b/>
                                  <w:color w:val="000000"/>
                                  <w:sz w:val="31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mallCaps/>
                                  <w:color w:val="F5F5F5"/>
                                  <w:spacing w:val="2"/>
                                  <w:w w:val="125"/>
                                  <w:sz w:val="31"/>
                                </w:rPr>
                                <w:t>Professional</w:t>
                              </w:r>
                              <w:r>
                                <w:rPr>
                                  <w:rFonts w:ascii="Calibri"/>
                                  <w:b/>
                                  <w:smallCaps/>
                                  <w:color w:val="F5F5F5"/>
                                  <w:spacing w:val="71"/>
                                  <w:w w:val="130"/>
                                  <w:sz w:val="31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smallCaps/>
                                  <w:color w:val="F5F5F5"/>
                                  <w:spacing w:val="-2"/>
                                  <w:w w:val="130"/>
                                  <w:sz w:val="31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1376" id="docshapegroup1" coordorigin="0,0" coordsize="11919,16858">
                <v:rect style="position:absolute;left:3938;top:12195;width:7981;height:4663" id="docshape2" filled="true" fillcolor="#789c2f" stroked="false">
                  <v:fill opacity="32899f" type="solid"/>
                </v:rect>
                <v:rect style="position:absolute;left:0;top:0;width:11919;height:3870" id="docshape3" filled="true" fillcolor="#424242" stroked="false">
                  <v:fill type="solid"/>
                </v:rect>
                <v:shape style="position:absolute;left:3944;top:3870;width:7974;height:8325" id="docshape4" coordorigin="3945,3870" coordsize="7974,8325" path="m11918,4800l3945,4800,3945,12195,11918,12195,11918,4800xm11918,3870l3945,3870,3945,4065,11918,4065,11918,3870xe" filled="true" fillcolor="#789c2f" stroked="false">
                  <v:path arrowok="t"/>
                  <v:fill opacity="32899f" type="solid"/>
                </v:shape>
                <v:shape style="position:absolute;left:3657;top:4795;width:288;height:418" type="#_x0000_t75" id="docshape5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5135;width:6653;height:459" type="#_x0000_t202" id="docshape6" filled="false" stroked="false">
                  <v:textbox inset="0,0,0,0">
                    <w:txbxContent>
                      <w:p>
                        <w:pPr>
                          <w:spacing w:line="266" w:lineRule="auto" w:before="0"/>
                          <w:ind w:left="0" w:right="18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Cybersecurity Counsel</w:t>
                        </w:r>
                        <w:r>
                          <w:rPr>
                            <w:spacing w:val="4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85"/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spacing w:val="40"/>
                            <w:w w:val="105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RidgePoint</w:t>
                        </w:r>
                        <w:r>
                          <w:rPr>
                            <w:spacing w:val="3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Security Law Group,</w:t>
                        </w:r>
                        <w:r>
                          <w:rPr>
                            <w:spacing w:val="3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San</w:t>
                        </w:r>
                        <w:r>
                          <w:rPr>
                            <w:spacing w:val="3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Francisco,</w:t>
                        </w:r>
                        <w:r>
                          <w:rPr>
                            <w:spacing w:val="3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CA March 2020 </w:t>
                        </w:r>
                        <w:r>
                          <w:rPr>
                            <w:w w:val="130"/>
                            <w:sz w:val="18"/>
                          </w:rPr>
                          <w:t>– </w:t>
                        </w:r>
                        <w:r>
                          <w:rPr>
                            <w:w w:val="105"/>
                            <w:sz w:val="18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4817;top:5698;width:131;height:1374" type="#_x0000_t202" id="docshape7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4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5767;width:5814;height:1217" type="#_x0000_t202" id="docshape8" filled="false" stroked="false">
                  <v:textbox inset="0,0,0,0">
                    <w:txbxContent>
                      <w:p>
                        <w:pPr>
                          <w:spacing w:line="271" w:lineRule="auto" w:before="7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10"/>
                            <w:sz w:val="16"/>
                          </w:rPr>
                          <w:t>Responded to over 40 data breaches, managing communications with regulators and affected consumers</w:t>
                        </w:r>
                      </w:p>
                      <w:p>
                        <w:pPr>
                          <w:spacing w:line="271" w:lineRule="auto" w:before="9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Drafted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internal</w:t>
                        </w:r>
                        <w:r>
                          <w:rPr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cybersecurity</w:t>
                        </w:r>
                        <w:r>
                          <w:rPr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policies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SaaS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companies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payment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processors</w:t>
                        </w:r>
                      </w:p>
                      <w:p>
                        <w:pPr>
                          <w:spacing w:before="9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Advised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on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international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data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transfers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regulatory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risk</w:t>
                        </w:r>
                      </w:p>
                    </w:txbxContent>
                  </v:textbox>
                  <w10:wrap type="none"/>
                </v:shape>
                <v:shape style="position:absolute;left:4370;top:7370;width:5777;height:459" type="#_x0000_t202" id="docshape9" filled="false" stroked="false">
                  <v:textbox inset="0,0,0,0">
                    <w:txbxContent>
                      <w:p>
                        <w:pPr>
                          <w:spacing w:line="266" w:lineRule="auto" w:before="0"/>
                          <w:ind w:left="0" w:right="18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Privacy Associate Attorney </w:t>
                        </w:r>
                        <w:r>
                          <w:rPr>
                            <w:w w:val="85"/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w w:val="105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Hunt &amp; Brock LLP, San Francisco, CA September 2017 </w:t>
                        </w:r>
                        <w:r>
                          <w:rPr>
                            <w:w w:val="130"/>
                            <w:sz w:val="18"/>
                          </w:rPr>
                          <w:t>– </w:t>
                        </w:r>
                        <w:r>
                          <w:rPr>
                            <w:w w:val="105"/>
                            <w:sz w:val="18"/>
                          </w:rPr>
                          <w:t>February 2020</w:t>
                        </w:r>
                      </w:p>
                    </w:txbxContent>
                  </v:textbox>
                  <w10:wrap type="none"/>
                </v:shape>
                <v:shape style="position:absolute;left:4817;top:7933;width:131;height:354" type="#_x0000_t202" id="docshape10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8002;width:6483;height:197" type="#_x0000_t202" id="docshape11" filled="false" stroked="false">
                  <v:textbox inset="0,0,0,0">
                    <w:txbxContent>
                      <w:p>
                        <w:pPr>
                          <w:spacing w:before="7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10"/>
                            <w:sz w:val="16"/>
                          </w:rPr>
                          <w:t>Advised</w:t>
                        </w:r>
                        <w:r>
                          <w:rPr>
                            <w:spacing w:val="5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clients</w:t>
                        </w:r>
                        <w:r>
                          <w:rPr>
                            <w:spacing w:val="5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on</w:t>
                        </w:r>
                        <w:r>
                          <w:rPr>
                            <w:spacing w:val="5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CCPA</w:t>
                        </w:r>
                        <w:r>
                          <w:rPr>
                            <w:spacing w:val="-3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implementation</w:t>
                        </w:r>
                        <w:r>
                          <w:rPr>
                            <w:spacing w:val="5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and</w:t>
                        </w:r>
                        <w:r>
                          <w:rPr>
                            <w:spacing w:val="5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third-party</w:t>
                        </w:r>
                        <w:r>
                          <w:rPr>
                            <w:spacing w:val="-5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vendor risk</w:t>
                        </w:r>
                        <w:r>
                          <w:rPr>
                            <w:spacing w:val="5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10"/>
                            <w:sz w:val="16"/>
                          </w:rPr>
                          <w:t>agreements</w:t>
                        </w:r>
                      </w:p>
                    </w:txbxContent>
                  </v:textbox>
                  <w10:wrap type="none"/>
                </v:shape>
                <v:shape style="position:absolute;left:0;top:0;width:11919;height:4065" type="#_x0000_t202" id="docshape12" filled="false" stroked="false">
                  <v:textbox inset="0,0,0,0">
                    <w:txbxContent>
                      <w:p>
                        <w:pPr>
                          <w:spacing w:before="832"/>
                          <w:ind w:left="3" w:right="12" w:firstLine="0"/>
                          <w:jc w:val="center"/>
                          <w:rPr>
                            <w:rFonts w:ascii="Calibri"/>
                            <w:sz w:val="78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spacing w:val="11"/>
                            <w:w w:val="130"/>
                            <w:sz w:val="78"/>
                          </w:rPr>
                          <w:t>Jesse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51"/>
                            <w:w w:val="150"/>
                            <w:sz w:val="78"/>
                          </w:rPr>
                          <w:t> </w:t>
                        </w:r>
                        <w:r>
                          <w:rPr>
                            <w:rFonts w:ascii="Calibri"/>
                            <w:color w:val="FFFFFF"/>
                            <w:spacing w:val="11"/>
                            <w:w w:val="125"/>
                            <w:sz w:val="78"/>
                          </w:rPr>
                          <w:t>Martin</w:t>
                        </w:r>
                      </w:p>
                      <w:p>
                        <w:pPr>
                          <w:spacing w:before="128"/>
                          <w:ind w:left="12" w:right="9" w:firstLine="0"/>
                          <w:jc w:val="center"/>
                          <w:rPr>
                            <w:rFonts w:ascii="Calibri"/>
                            <w:b/>
                            <w:sz w:val="26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25"/>
                            <w:sz w:val="26"/>
                          </w:rPr>
                          <w:t>Cybersecurity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36"/>
                            <w:w w:val="130"/>
                            <w:sz w:val="26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30"/>
                            <w:sz w:val="26"/>
                          </w:rPr>
                          <w:t>Lawyer</w:t>
                        </w:r>
                      </w:p>
                      <w:p>
                        <w:pPr>
                          <w:spacing w:before="155"/>
                          <w:ind w:left="873" w:right="0" w:firstLine="0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pacing w:val="2"/>
                            <w:sz w:val="16"/>
                          </w:rPr>
                          <w:t>Cybersecurity</w:t>
                        </w:r>
                        <w:r>
                          <w:rPr>
                            <w:b/>
                            <w:color w:val="FFFFFF"/>
                            <w:spacing w:val="13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"/>
                            <w:sz w:val="16"/>
                          </w:rPr>
                          <w:t>attorney</w:t>
                        </w:r>
                        <w:r>
                          <w:rPr>
                            <w:b/>
                            <w:color w:val="FFFFFF"/>
                            <w:spacing w:val="13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"/>
                            <w:sz w:val="16"/>
                          </w:rPr>
                          <w:t>focused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"/>
                            <w:sz w:val="16"/>
                          </w:rPr>
                          <w:t>on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"/>
                            <w:sz w:val="16"/>
                          </w:rPr>
                          <w:t>data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"/>
                            <w:sz w:val="16"/>
                          </w:rPr>
                          <w:t>protection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"/>
                            <w:sz w:val="16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"/>
                            <w:sz w:val="16"/>
                          </w:rPr>
                          <w:t>regulatory</w:t>
                        </w:r>
                        <w:r>
                          <w:rPr>
                            <w:b/>
                            <w:color w:val="FFFFFF"/>
                            <w:spacing w:val="13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16"/>
                          </w:rPr>
                          <w:t>compliance</w:t>
                        </w:r>
                      </w:p>
                      <w:p>
                        <w:pPr>
                          <w:spacing w:line="271" w:lineRule="auto" w:before="24"/>
                          <w:ind w:left="873" w:right="938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Cybersecurity lawyer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with 6 years of experience supporting tech companies and financial institutions on data breach response, privacy policy drafting, and digital risk mitigation. Experienced in GDPR, CCPA, and incident response.</w:t>
                        </w:r>
                      </w:p>
                    </w:txbxContent>
                  </v:textbox>
                  <w10:wrap type="none"/>
                </v:shape>
                <v:shape style="position:absolute;left:3660;top:4065;width:8259;height:735" type="#_x0000_t202" id="docshape13" filled="true" fillcolor="#789c2f" stroked="false">
                  <v:textbox inset="0,0,0,0">
                    <w:txbxContent>
                      <w:p>
                        <w:pPr>
                          <w:spacing w:before="170"/>
                          <w:ind w:left="636" w:right="0" w:firstLine="0"/>
                          <w:jc w:val="left"/>
                          <w:rPr>
                            <w:rFonts w:ascii="Calibri"/>
                            <w:b/>
                            <w:color w:val="000000"/>
                            <w:sz w:val="31"/>
                          </w:rPr>
                        </w:pPr>
                        <w:r>
                          <w:rPr>
                            <w:rFonts w:ascii="Calibri"/>
                            <w:b/>
                            <w:smallCaps/>
                            <w:color w:val="F5F5F5"/>
                            <w:spacing w:val="2"/>
                            <w:w w:val="125"/>
                            <w:sz w:val="31"/>
                          </w:rPr>
                          <w:t>Professional</w:t>
                        </w:r>
                        <w:r>
                          <w:rPr>
                            <w:rFonts w:ascii="Calibri"/>
                            <w:b/>
                            <w:smallCaps/>
                            <w:color w:val="F5F5F5"/>
                            <w:spacing w:val="71"/>
                            <w:w w:val="130"/>
                            <w:sz w:val="31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smallCaps/>
                            <w:color w:val="F5F5F5"/>
                            <w:spacing w:val="-2"/>
                            <w:w w:val="130"/>
                            <w:sz w:val="31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spacing w:before="260"/>
        <w:rPr>
          <w:rFonts w:ascii="Times New Roman"/>
          <w:sz w:val="24"/>
        </w:rPr>
      </w:pPr>
    </w:p>
    <w:p>
      <w:pPr>
        <w:pStyle w:val="Heading1"/>
        <w:spacing w:line="266" w:lineRule="auto"/>
        <w:ind w:right="6994"/>
      </w:pPr>
      <w:r>
        <w:rPr>
          <w:smallCaps/>
          <w:color w:val="789C2F"/>
          <w:spacing w:val="-2"/>
          <w:w w:val="125"/>
        </w:rPr>
        <w:t>Personal </w:t>
      </w:r>
      <w:r>
        <w:rPr>
          <w:smallCaps/>
          <w:color w:val="789C2F"/>
          <w:spacing w:val="-2"/>
          <w:w w:val="120"/>
        </w:rPr>
        <w:t>Information</w:t>
      </w:r>
    </w:p>
    <w:p>
      <w:pPr>
        <w:pStyle w:val="BodyText"/>
        <w:spacing w:before="2"/>
        <w:rPr>
          <w:rFonts w:ascii="Calibri"/>
          <w:b/>
          <w:sz w:val="24"/>
        </w:rPr>
      </w:pPr>
    </w:p>
    <w:p>
      <w:pPr>
        <w:pStyle w:val="BodyText"/>
        <w:tabs>
          <w:tab w:pos="795" w:val="left" w:leader="none"/>
        </w:tabs>
        <w:spacing w:line="480" w:lineRule="auto"/>
        <w:ind w:left="271" w:right="6994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z w:val="20"/>
        </w:rPr>
        <w:tab/>
      </w:r>
      <w:hyperlink r:id="rId7">
        <w:r>
          <w:rPr>
            <w:color w:val="424242"/>
            <w:spacing w:val="-2"/>
          </w:rPr>
          <w:t>jesse.martin@email.com</w:t>
        </w:r>
      </w:hyperlink>
      <w:r>
        <w:rPr>
          <w:color w:val="424242"/>
          <w:spacing w:val="-2"/>
        </w:rPr>
        <w:t> </w:t>
      </w:r>
      <w:r>
        <w:rPr>
          <w:color w:val="424242"/>
          <w:position w:val="-5"/>
        </w:rPr>
        <w:drawing>
          <wp:inline distT="0" distB="0" distL="0" distR="0">
            <wp:extent cx="165334" cy="161925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5"/>
        </w:rPr>
      </w:r>
      <w:r>
        <w:rPr>
          <w:rFonts w:ascii="Times New Roman"/>
          <w:color w:val="424242"/>
        </w:rPr>
        <w:tab/>
      </w:r>
      <w:r>
        <w:rPr>
          <w:color w:val="424242"/>
          <w:w w:val="105"/>
        </w:rPr>
        <w:t>City, ST</w:t>
      </w:r>
    </w:p>
    <w:p>
      <w:pPr>
        <w:pStyle w:val="Heading1"/>
        <w:spacing w:before="50"/>
      </w:pPr>
      <w:r>
        <w:rPr>
          <w:smallCaps/>
          <w:color w:val="789C2F"/>
          <w:w w:val="130"/>
        </w:rPr>
        <w:t>Key</w:t>
      </w:r>
      <w:r>
        <w:rPr>
          <w:smallCaps/>
          <w:color w:val="789C2F"/>
          <w:spacing w:val="27"/>
          <w:w w:val="130"/>
        </w:rPr>
        <w:t> </w:t>
      </w:r>
      <w:r>
        <w:rPr>
          <w:smallCaps/>
          <w:color w:val="789C2F"/>
          <w:spacing w:val="-2"/>
          <w:w w:val="130"/>
        </w:rPr>
        <w:t>Skills</w:t>
      </w:r>
    </w:p>
    <w:p>
      <w:pPr>
        <w:pStyle w:val="BodyText"/>
        <w:spacing w:before="21"/>
        <w:rPr>
          <w:rFonts w:ascii="Calibri"/>
          <w:b/>
        </w:rPr>
      </w:pP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43" w:lineRule="exact" w:before="1" w:after="0"/>
        <w:ind w:left="570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Cyber</w:t>
      </w:r>
      <w:r>
        <w:rPr>
          <w:color w:val="424242"/>
          <w:spacing w:val="32"/>
          <w:w w:val="105"/>
          <w:sz w:val="18"/>
        </w:rPr>
        <w:t> </w:t>
      </w:r>
      <w:r>
        <w:rPr>
          <w:color w:val="424242"/>
          <w:spacing w:val="-5"/>
          <w:w w:val="105"/>
          <w:sz w:val="18"/>
        </w:rPr>
        <w:t>law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10"/>
          <w:sz w:val="18"/>
        </w:rPr>
        <w:t>Data</w:t>
      </w:r>
      <w:r>
        <w:rPr>
          <w:color w:val="424242"/>
          <w:spacing w:val="-5"/>
          <w:w w:val="110"/>
          <w:sz w:val="18"/>
        </w:rPr>
        <w:t> </w:t>
      </w:r>
      <w:r>
        <w:rPr>
          <w:color w:val="424242"/>
          <w:w w:val="110"/>
          <w:sz w:val="18"/>
        </w:rPr>
        <w:t>breach</w:t>
      </w:r>
      <w:r>
        <w:rPr>
          <w:color w:val="424242"/>
          <w:spacing w:val="-5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response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15"/>
          <w:sz w:val="18"/>
        </w:rPr>
        <w:t>GDPR/CCPA</w:t>
      </w:r>
      <w:r>
        <w:rPr>
          <w:color w:val="424242"/>
          <w:spacing w:val="6"/>
          <w:w w:val="115"/>
          <w:sz w:val="18"/>
        </w:rPr>
        <w:t> </w:t>
      </w:r>
      <w:r>
        <w:rPr>
          <w:color w:val="424242"/>
          <w:spacing w:val="-2"/>
          <w:w w:val="115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23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Privacy</w:t>
      </w:r>
      <w:r>
        <w:rPr>
          <w:color w:val="424242"/>
          <w:spacing w:val="19"/>
          <w:w w:val="105"/>
          <w:sz w:val="18"/>
        </w:rPr>
        <w:t> </w:t>
      </w:r>
      <w:r>
        <w:rPr>
          <w:color w:val="424242"/>
          <w:w w:val="105"/>
          <w:sz w:val="18"/>
        </w:rPr>
        <w:t>policy</w:t>
      </w:r>
      <w:r>
        <w:rPr>
          <w:color w:val="424242"/>
          <w:spacing w:val="1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drafting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6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sz w:val="18"/>
        </w:rPr>
        <w:t>Incident</w:t>
      </w:r>
      <w:r>
        <w:rPr>
          <w:color w:val="424242"/>
          <w:spacing w:val="53"/>
          <w:sz w:val="18"/>
        </w:rPr>
        <w:t> </w:t>
      </w:r>
      <w:r>
        <w:rPr>
          <w:color w:val="424242"/>
          <w:spacing w:val="-2"/>
          <w:sz w:val="18"/>
        </w:rPr>
        <w:t>investigation</w:t>
      </w:r>
    </w:p>
    <w:p>
      <w:pPr>
        <w:pStyle w:val="Heading1"/>
        <w:spacing w:before="254"/>
      </w:pPr>
      <w:r>
        <w:rPr>
          <w:smallCaps/>
          <w:color w:val="789C2F"/>
          <w:spacing w:val="-2"/>
          <w:w w:val="125"/>
        </w:rPr>
        <w:t>Education</w:t>
      </w:r>
    </w:p>
    <w:p>
      <w:pPr>
        <w:pStyle w:val="BodyText"/>
        <w:spacing w:before="54"/>
        <w:rPr>
          <w:rFonts w:ascii="Calibri"/>
          <w:b/>
          <w:sz w:val="24"/>
        </w:rPr>
      </w:pPr>
    </w:p>
    <w:p>
      <w:pPr>
        <w:pStyle w:val="BodyText"/>
        <w:ind w:left="274"/>
      </w:pPr>
      <w:r>
        <w:rPr/>
        <w:t>Juris</w:t>
      </w:r>
      <w:r>
        <w:rPr>
          <w:spacing w:val="45"/>
        </w:rPr>
        <w:t> </w:t>
      </w:r>
      <w:r>
        <w:rPr/>
        <w:t>Doctor</w:t>
      </w:r>
      <w:r>
        <w:rPr>
          <w:spacing w:val="39"/>
        </w:rPr>
        <w:t> </w:t>
      </w:r>
      <w:r>
        <w:rPr>
          <w:spacing w:val="-2"/>
        </w:rPr>
        <w:t>(J.D.)</w:t>
      </w:r>
    </w:p>
    <w:p>
      <w:pPr>
        <w:pStyle w:val="BodyText"/>
        <w:spacing w:line="259" w:lineRule="auto" w:before="31"/>
        <w:ind w:left="274" w:right="6994"/>
      </w:pPr>
      <w:r>
        <w:rPr/>
        <w:t>Santa Clara University School of</w:t>
      </w:r>
      <w:r>
        <w:rPr>
          <w:spacing w:val="40"/>
        </w:rPr>
        <w:t> </w:t>
      </w:r>
      <w:r>
        <w:rPr/>
        <w:t>Law </w:t>
      </w:r>
      <w:r>
        <w:rPr>
          <w:w w:val="85"/>
        </w:rPr>
        <w:t>| </w:t>
      </w:r>
      <w:r>
        <w:rPr/>
        <w:t>2017</w:t>
      </w:r>
    </w:p>
    <w:p>
      <w:pPr>
        <w:pStyle w:val="BodyText"/>
        <w:spacing w:before="30"/>
      </w:pPr>
    </w:p>
    <w:p>
      <w:pPr>
        <w:pStyle w:val="BodyText"/>
        <w:spacing w:line="259" w:lineRule="auto"/>
        <w:ind w:left="274" w:right="6289"/>
      </w:pPr>
      <w:r>
        <w:rPr>
          <w:w w:val="105"/>
        </w:rPr>
        <w:t>Bachelor of Science in Computer </w:t>
      </w:r>
      <w:r>
        <w:rPr>
          <w:spacing w:val="-2"/>
          <w:w w:val="105"/>
        </w:rPr>
        <w:t>Science</w:t>
      </w:r>
    </w:p>
    <w:p>
      <w:pPr>
        <w:pStyle w:val="BodyText"/>
        <w:spacing w:before="14"/>
        <w:ind w:left="274"/>
      </w:pPr>
      <w:r>
        <w:rPr/>
        <w:t>UC</w:t>
      </w:r>
      <w:r>
        <w:rPr>
          <w:spacing w:val="20"/>
        </w:rPr>
        <w:t> </w:t>
      </w:r>
      <w:r>
        <w:rPr/>
        <w:t>Davis</w:t>
      </w:r>
      <w:r>
        <w:rPr>
          <w:spacing w:val="20"/>
        </w:rPr>
        <w:t> </w:t>
      </w:r>
      <w:r>
        <w:rPr>
          <w:w w:val="85"/>
        </w:rPr>
        <w:t>|</w:t>
      </w:r>
      <w:r>
        <w:rPr>
          <w:spacing w:val="20"/>
        </w:rPr>
        <w:t> </w:t>
      </w:r>
      <w:r>
        <w:rPr>
          <w:spacing w:val="-4"/>
        </w:rPr>
        <w:t>2013</w:t>
      </w:r>
    </w:p>
    <w:sectPr>
      <w:type w:val="continuous"/>
      <w:pgSz w:w="11920" w:h="16860"/>
      <w:pgMar w:top="1920" w:bottom="280" w:left="283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72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1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6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Calibri" w:hAnsi="Calibri" w:eastAsia="Calibri" w:cs="Calibri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0" w:lineRule="exact"/>
      <w:ind w:left="570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jesse.martin@email.com" TargetMode="Externa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2026-02-15T18:26:25Z</dcterms:created>
  <dcterms:modified xsi:type="dcterms:W3CDTF">2026-02-15T18:26:25Z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