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539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5"/>
          <w:sz w:val="16"/>
        </w:rPr>
        <w:t> </w:t>
      </w:r>
      <w:r>
        <w:rPr>
          <w:color w:val="FFFFFF"/>
          <w:sz w:val="16"/>
        </w:rPr>
        <w:t>444-5556</w:t>
      </w:r>
      <w:r>
        <w:rPr>
          <w:color w:val="FFFFFF"/>
          <w:spacing w:val="40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5"/>
          <w:sz w:val="18"/>
        </w:rPr>
        <w:t> </w:t>
      </w:r>
      <w:hyperlink r:id="rId5">
        <w:r>
          <w:rPr>
            <w:color w:val="FFFFFF"/>
            <w:sz w:val="16"/>
          </w:rPr>
          <w:t>skyler.lewis@email.com</w:t>
        </w:r>
      </w:hyperlink>
      <w:r>
        <w:rPr>
          <w:color w:val="FFFFFF"/>
          <w:spacing w:val="40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5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2"/>
      </w:pPr>
      <w:r>
        <w:rPr>
          <w:color w:val="FFFFFF"/>
          <w:w w:val="130"/>
        </w:rPr>
        <w:t>Mechanical</w:t>
      </w:r>
      <w:r>
        <w:rPr>
          <w:color w:val="FFFFFF"/>
          <w:spacing w:val="52"/>
          <w:w w:val="130"/>
        </w:rPr>
        <w:t> </w:t>
      </w:r>
      <w:r>
        <w:rPr>
          <w:color w:val="FFFFFF"/>
          <w:w w:val="130"/>
        </w:rPr>
        <w:t>Commissioning</w:t>
      </w:r>
      <w:r>
        <w:rPr>
          <w:color w:val="FFFFFF"/>
          <w:spacing w:val="53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62"/>
        <w:ind w:left="401" w:right="0" w:firstLine="0"/>
        <w:jc w:val="left"/>
        <w:rPr>
          <w:sz w:val="16"/>
        </w:rPr>
      </w:pPr>
      <w:r>
        <w:rPr>
          <w:color w:val="FFFFFF"/>
          <w:sz w:val="16"/>
        </w:rPr>
        <w:t>Commissioning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Engineer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6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testing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startup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mechanical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systems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large-scale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infrastructure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 industrial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settings.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system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validation,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equipment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calibration,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client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handover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8"/>
      </w:pPr>
      <w:r>
        <w:rPr>
          <w:color w:val="F5F5F5"/>
          <w:w w:val="135"/>
        </w:rPr>
        <w:t>KEY</w:t>
      </w:r>
      <w:r>
        <w:rPr>
          <w:color w:val="F5F5F5"/>
          <w:spacing w:val="-1"/>
          <w:w w:val="135"/>
        </w:rPr>
        <w:t> </w:t>
      </w:r>
      <w:r>
        <w:rPr>
          <w:color w:val="F5F5F5"/>
          <w:spacing w:val="-2"/>
          <w:w w:val="140"/>
        </w:rPr>
        <w:t>SKILLS</w:t>
      </w:r>
    </w:p>
    <w:p>
      <w:pPr>
        <w:pStyle w:val="BodyText"/>
        <w:spacing w:before="101"/>
        <w:rPr>
          <w:rFonts w:ascii="Calibri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4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Commissioning</w:t>
      </w:r>
    </w:p>
    <w:p>
      <w:pPr>
        <w:pStyle w:val="BodyText"/>
        <w:spacing w:line="95" w:lineRule="exact"/>
        <w:ind w:left="531"/>
      </w:pPr>
      <w:r>
        <w:rPr>
          <w:spacing w:val="-2"/>
        </w:rPr>
        <w:t>documentation</w:t>
      </w:r>
    </w:p>
    <w:p>
      <w:pPr>
        <w:pStyle w:val="Heading1"/>
        <w:spacing w:before="123"/>
      </w:pPr>
      <w:r>
        <w:rPr>
          <w:b w:val="0"/>
        </w:rPr>
        <w:br w:type="column"/>
      </w:r>
      <w:r>
        <w:rPr>
          <w:color w:val="25A6FF"/>
          <w:w w:val="130"/>
        </w:rPr>
        <w:t>PROFESSIONAL</w:t>
      </w:r>
      <w:r>
        <w:rPr>
          <w:color w:val="25A6FF"/>
          <w:spacing w:val="30"/>
          <w:w w:val="130"/>
        </w:rPr>
        <w:t> </w:t>
      </w:r>
      <w:r>
        <w:rPr>
          <w:color w:val="25A6FF"/>
          <w:spacing w:val="-2"/>
          <w:w w:val="130"/>
        </w:rPr>
        <w:t>EXPERIENCE</w:t>
      </w:r>
    </w:p>
    <w:p>
      <w:pPr>
        <w:pStyle w:val="BodyText"/>
        <w:spacing w:line="266" w:lineRule="auto" w:before="150"/>
        <w:ind w:left="66" w:right="1294"/>
      </w:pPr>
      <w:r>
        <w:rPr/>
        <w:t>Mechanical</w:t>
      </w:r>
      <w:r>
        <w:rPr>
          <w:spacing w:val="35"/>
        </w:rPr>
        <w:t> </w:t>
      </w:r>
      <w:r>
        <w:rPr/>
        <w:t>Commissioning</w:t>
      </w:r>
      <w:r>
        <w:rPr>
          <w:spacing w:val="35"/>
        </w:rPr>
        <w:t> </w:t>
      </w:r>
      <w:r>
        <w:rPr/>
        <w:t>Engineer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CoreTech</w:t>
      </w:r>
      <w:r>
        <w:rPr>
          <w:spacing w:val="35"/>
        </w:rPr>
        <w:t> </w:t>
      </w:r>
      <w:r>
        <w:rPr/>
        <w:t>Services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Atlanta,</w:t>
      </w:r>
      <w:r>
        <w:rPr>
          <w:spacing w:val="35"/>
        </w:rPr>
        <w:t> </w:t>
      </w:r>
      <w:r>
        <w:rPr/>
        <w:t>GA, February 2020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1827" w:space="1651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6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Control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Equipment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HVAC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commissioning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Performance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validation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14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sz w:val="18"/>
        </w:rPr>
        <w:t>Project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startup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9" w:after="0"/>
        <w:ind w:left="531" w:right="455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Led</w:t>
      </w:r>
      <w:r>
        <w:rPr>
          <w:spacing w:val="40"/>
          <w:sz w:val="18"/>
        </w:rPr>
        <w:t> </w:t>
      </w:r>
      <w:r>
        <w:rPr>
          <w:sz w:val="18"/>
        </w:rPr>
        <w:t>mechanical</w:t>
      </w:r>
      <w:r>
        <w:rPr>
          <w:spacing w:val="40"/>
          <w:sz w:val="18"/>
        </w:rPr>
        <w:t> </w:t>
      </w:r>
      <w:r>
        <w:rPr>
          <w:sz w:val="18"/>
        </w:rPr>
        <w:t>system</w:t>
      </w:r>
      <w:r>
        <w:rPr>
          <w:spacing w:val="40"/>
          <w:sz w:val="18"/>
        </w:rPr>
        <w:t> </w:t>
      </w:r>
      <w:r>
        <w:rPr>
          <w:sz w:val="18"/>
        </w:rPr>
        <w:t>commissioning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$40M</w:t>
      </w:r>
      <w:r>
        <w:rPr>
          <w:spacing w:val="40"/>
          <w:sz w:val="18"/>
        </w:rPr>
        <w:t> </w:t>
      </w:r>
      <w:r>
        <w:rPr>
          <w:sz w:val="18"/>
        </w:rPr>
        <w:t>pharmaceutical</w:t>
      </w:r>
      <w:r>
        <w:rPr>
          <w:spacing w:val="40"/>
          <w:sz w:val="18"/>
        </w:rPr>
        <w:t> </w:t>
      </w:r>
      <w:r>
        <w:rPr>
          <w:sz w:val="18"/>
        </w:rPr>
        <w:t>facility, verifying</w:t>
      </w:r>
      <w:r>
        <w:rPr>
          <w:spacing w:val="40"/>
          <w:sz w:val="18"/>
        </w:rPr>
        <w:t> </w:t>
      </w:r>
      <w:r>
        <w:rPr>
          <w:sz w:val="18"/>
        </w:rPr>
        <w:t>operational</w:t>
      </w:r>
      <w:r>
        <w:rPr>
          <w:spacing w:val="40"/>
          <w:sz w:val="18"/>
        </w:rPr>
        <w:t> </w:t>
      </w:r>
      <w:r>
        <w:rPr>
          <w:sz w:val="18"/>
        </w:rPr>
        <w:t>performance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HVAC</w:t>
      </w:r>
      <w:r>
        <w:rPr>
          <w:spacing w:val="40"/>
          <w:sz w:val="18"/>
        </w:rPr>
        <w:t> </w:t>
      </w:r>
      <w:r>
        <w:rPr>
          <w:sz w:val="18"/>
        </w:rPr>
        <w:t>balancing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32" w:after="0"/>
        <w:ind w:left="529" w:right="0" w:hanging="296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35"/>
          <w:sz w:val="18"/>
        </w:rPr>
        <w:t> </w:t>
      </w:r>
      <w:r>
        <w:rPr>
          <w:sz w:val="18"/>
        </w:rPr>
        <w:t>pre-startup</w:t>
      </w:r>
      <w:r>
        <w:rPr>
          <w:spacing w:val="36"/>
          <w:sz w:val="18"/>
        </w:rPr>
        <w:t> </w:t>
      </w:r>
      <w:r>
        <w:rPr>
          <w:sz w:val="18"/>
        </w:rPr>
        <w:t>checklists,</w:t>
      </w:r>
      <w:r>
        <w:rPr>
          <w:spacing w:val="35"/>
          <w:sz w:val="18"/>
        </w:rPr>
        <w:t> </w:t>
      </w:r>
      <w:r>
        <w:rPr>
          <w:sz w:val="18"/>
        </w:rPr>
        <w:t>documentation,</w:t>
      </w:r>
      <w:r>
        <w:rPr>
          <w:spacing w:val="36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site</w:t>
      </w:r>
      <w:r>
        <w:rPr>
          <w:spacing w:val="35"/>
          <w:sz w:val="18"/>
        </w:rPr>
        <w:t> </w:t>
      </w:r>
      <w:r>
        <w:rPr>
          <w:sz w:val="18"/>
        </w:rPr>
        <w:t>safety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3" w:after="0"/>
        <w:ind w:left="531" w:right="576" w:hanging="298"/>
        <w:jc w:val="left"/>
        <w:rPr>
          <w:sz w:val="18"/>
        </w:rPr>
      </w:pPr>
      <w:r>
        <w:rPr>
          <w:w w:val="105"/>
          <w:sz w:val="18"/>
        </w:rPr>
        <w:t>Coordinated between MEP contractors to resolve punch list issues before </w:t>
      </w:r>
      <w:r>
        <w:rPr>
          <w:spacing w:val="-2"/>
          <w:w w:val="105"/>
          <w:sz w:val="18"/>
        </w:rPr>
        <w:t>handover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531" w:space="984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Punch</w:t>
      </w:r>
      <w:r>
        <w:rPr>
          <w:spacing w:val="4"/>
          <w:sz w:val="18"/>
        </w:rPr>
        <w:t> </w:t>
      </w:r>
      <w:r>
        <w:rPr>
          <w:sz w:val="18"/>
        </w:rPr>
        <w:t>list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System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BodyText"/>
        <w:spacing w:line="266" w:lineRule="auto" w:before="85"/>
        <w:ind w:left="233" w:right="2382"/>
      </w:pPr>
      <w:r>
        <w:rPr/>
        <w:br w:type="column"/>
      </w:r>
      <w:r>
        <w:rPr/>
        <w:t>Mechanical Engineer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StartPoint Engineering </w:t>
      </w:r>
      <w:r>
        <w:rPr>
          <w:w w:val="85"/>
        </w:rPr>
        <w:t>| </w:t>
      </w:r>
      <w:r>
        <w:rPr/>
        <w:t>Macon, GA,</w:t>
      </w:r>
      <w:r>
        <w:rPr>
          <w:spacing w:val="40"/>
        </w:rPr>
        <w:t> </w:t>
      </w:r>
      <w:r>
        <w:rPr/>
        <w:t>June 2017 </w:t>
      </w:r>
      <w:r>
        <w:rPr>
          <w:w w:val="155"/>
        </w:rPr>
        <w:t>– </w:t>
      </w:r>
      <w:r>
        <w:rPr/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535" w:space="776"/>
            <w:col w:w="76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Heading1"/>
      </w:pPr>
      <w:r>
        <w:rPr>
          <w:color w:val="F5F5F5"/>
          <w:spacing w:val="-2"/>
          <w:w w:val="13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18" w:after="0"/>
        <w:ind w:left="362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Prepared</w:t>
      </w:r>
      <w:r>
        <w:rPr>
          <w:spacing w:val="22"/>
          <w:sz w:val="18"/>
        </w:rPr>
        <w:t> </w:t>
      </w:r>
      <w:r>
        <w:rPr>
          <w:sz w:val="18"/>
        </w:rPr>
        <w:t>test</w:t>
      </w:r>
      <w:r>
        <w:rPr>
          <w:spacing w:val="22"/>
          <w:sz w:val="18"/>
        </w:rPr>
        <w:t> </w:t>
      </w:r>
      <w:r>
        <w:rPr>
          <w:sz w:val="18"/>
        </w:rPr>
        <w:t>protocols</w:t>
      </w:r>
      <w:r>
        <w:rPr>
          <w:spacing w:val="22"/>
          <w:sz w:val="18"/>
        </w:rPr>
        <w:t> </w:t>
      </w:r>
      <w:r>
        <w:rPr>
          <w:sz w:val="18"/>
        </w:rPr>
        <w:t>and</w:t>
      </w:r>
      <w:r>
        <w:rPr>
          <w:spacing w:val="22"/>
          <w:sz w:val="18"/>
        </w:rPr>
        <w:t> </w:t>
      </w:r>
      <w:r>
        <w:rPr>
          <w:sz w:val="18"/>
        </w:rPr>
        <w:t>tracked</w:t>
      </w:r>
      <w:r>
        <w:rPr>
          <w:spacing w:val="22"/>
          <w:sz w:val="18"/>
        </w:rPr>
        <w:t> </w:t>
      </w:r>
      <w:r>
        <w:rPr>
          <w:sz w:val="18"/>
        </w:rPr>
        <w:t>compliance</w:t>
      </w:r>
      <w:r>
        <w:rPr>
          <w:spacing w:val="22"/>
          <w:sz w:val="18"/>
        </w:rPr>
        <w:t> </w:t>
      </w:r>
      <w:r>
        <w:rPr>
          <w:sz w:val="18"/>
        </w:rPr>
        <w:t>for</w:t>
      </w:r>
      <w:r>
        <w:rPr>
          <w:spacing w:val="22"/>
          <w:sz w:val="18"/>
        </w:rPr>
        <w:t> </w:t>
      </w:r>
      <w:r>
        <w:rPr>
          <w:sz w:val="18"/>
        </w:rPr>
        <w:t>over</w:t>
      </w:r>
      <w:r>
        <w:rPr>
          <w:spacing w:val="22"/>
          <w:sz w:val="18"/>
        </w:rPr>
        <w:t> </w:t>
      </w:r>
      <w:r>
        <w:rPr>
          <w:sz w:val="18"/>
        </w:rPr>
        <w:t>10</w:t>
      </w:r>
      <w:r>
        <w:rPr>
          <w:spacing w:val="23"/>
          <w:sz w:val="18"/>
        </w:rPr>
        <w:t> </w:t>
      </w:r>
      <w:r>
        <w:rPr>
          <w:sz w:val="18"/>
        </w:rPr>
        <w:t>facility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18" w:lineRule="auto" w:before="10" w:after="0"/>
        <w:ind w:left="363" w:right="127" w:hanging="298"/>
        <w:jc w:val="left"/>
        <w:rPr>
          <w:sz w:val="18"/>
        </w:rPr>
      </w:pPr>
      <w:r>
        <w:rPr>
          <w:sz w:val="18"/>
        </w:rPr>
        <w:t>Supported</w:t>
      </w:r>
      <w:r>
        <w:rPr>
          <w:spacing w:val="40"/>
          <w:sz w:val="18"/>
        </w:rPr>
        <w:t> </w:t>
      </w:r>
      <w:r>
        <w:rPr>
          <w:sz w:val="18"/>
        </w:rPr>
        <w:t>final</w:t>
      </w:r>
      <w:r>
        <w:rPr>
          <w:spacing w:val="40"/>
          <w:sz w:val="18"/>
        </w:rPr>
        <w:t> </w:t>
      </w:r>
      <w:r>
        <w:rPr>
          <w:sz w:val="18"/>
        </w:rPr>
        <w:t>equipment</w:t>
      </w:r>
      <w:r>
        <w:rPr>
          <w:spacing w:val="40"/>
          <w:sz w:val="18"/>
        </w:rPr>
        <w:t> </w:t>
      </w:r>
      <w:r>
        <w:rPr>
          <w:sz w:val="18"/>
        </w:rPr>
        <w:t>calibration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recorded</w:t>
      </w:r>
      <w:r>
        <w:rPr>
          <w:spacing w:val="40"/>
          <w:sz w:val="18"/>
        </w:rPr>
        <w:t> </w:t>
      </w:r>
      <w:r>
        <w:rPr>
          <w:sz w:val="18"/>
        </w:rPr>
        <w:t>commissioning</w:t>
      </w:r>
      <w:r>
        <w:rPr>
          <w:spacing w:val="40"/>
          <w:sz w:val="18"/>
        </w:rPr>
        <w:t> </w:t>
      </w:r>
      <w:r>
        <w:rPr>
          <w:sz w:val="18"/>
        </w:rPr>
        <w:t>reports</w:t>
      </w:r>
      <w:r>
        <w:rPr>
          <w:spacing w:val="40"/>
          <w:sz w:val="18"/>
        </w:rPr>
        <w:t> </w:t>
      </w:r>
      <w:r>
        <w:rPr>
          <w:sz w:val="18"/>
        </w:rPr>
        <w:t>for </w:t>
      </w:r>
      <w:r>
        <w:rPr>
          <w:spacing w:val="-2"/>
          <w:sz w:val="18"/>
        </w:rPr>
        <w:t>clients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1361" w:space="2321"/>
            <w:col w:w="7247"/>
          </w:cols>
        </w:sectPr>
      </w:pPr>
    </w:p>
    <w:p>
      <w:pPr>
        <w:pStyle w:val="BodyText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95537"/>
                            <a:ext cx="9525" cy="841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10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0" y="5800712"/>
                                </a:lnTo>
                                <a:lnTo>
                                  <a:pt x="0" y="8410549"/>
                                </a:lnTo>
                                <a:lnTo>
                                  <a:pt x="9525" y="8410549"/>
                                </a:lnTo>
                                <a:lnTo>
                                  <a:pt x="9525" y="5800712"/>
                                </a:lnTo>
                                <a:lnTo>
                                  <a:pt x="9525" y="3143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95524"/>
                            <a:ext cx="9525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67275">
                                <a:moveTo>
                                  <a:pt x="9524" y="4867274"/>
                                </a:moveTo>
                                <a:lnTo>
                                  <a:pt x="0" y="4867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6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812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812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1244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1244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3809;top:3615;width:15;height:13245" id="docshape2" coordorigin="3810,3615" coordsize="15,13245" path="m3825,3615l3810,3615,3810,4110,3810,12750,3810,16860,3825,16860,3825,12750,3825,4110,3825,3615xe" filled="true" fillcolor="#c18f00" stroked="false">
                  <v:path arrowok="t"/>
                  <v:fill type="solid"/>
                </v:shape>
                <v:rect style="position:absolute;left:0;top:0;width:11919;height:3615" id="docshape3" filled="true" fillcolor="#25a6ff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15;width:15;height:7665" id="docshape5" filled="true" fillcolor="#c18f00" stroked="false">
                  <v:fill type="solid"/>
                </v:rect>
                <v:rect style="position:absolute;left:480;top:4065;width:3120;height:525" id="docshape6" filled="true" fillcolor="#25a6ff" stroked="false">
                  <v:fill opacity="32899f" type="solid"/>
                </v:rect>
                <v:rect style="position:absolute;left:0;top:4065;width:480;height:525" id="docshape7" filled="true" fillcolor="#fae4cc" stroked="false">
                  <v:fill type="solid"/>
                </v:rect>
                <v:rect style="position:absolute;left:480;top:8070;width:3120;height:540" id="docshape8" filled="true" fillcolor="#25a6ff" stroked="false">
                  <v:fill opacity="32899f" type="solid"/>
                </v:rect>
                <v:rect style="position:absolute;left:0;top:807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233" w:right="8033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</w:t>
      </w:r>
      <w:r>
        <w:rPr>
          <w:spacing w:val="-4"/>
        </w:rPr>
        <w:t>2017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233" w:right="7428"/>
      </w:pPr>
      <w:r>
        <w:rPr/>
        <w:t>Georgia</w:t>
      </w:r>
      <w:r>
        <w:rPr>
          <w:spacing w:val="-14"/>
        </w:rPr>
        <w:t> </w:t>
      </w:r>
      <w:r>
        <w:rPr/>
        <w:t>Institute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Technology</w:t>
      </w:r>
      <w:r>
        <w:rPr>
          <w:spacing w:val="-13"/>
        </w:rPr>
        <w:t> </w:t>
      </w:r>
      <w:r>
        <w:rPr>
          <w:w w:val="90"/>
        </w:rPr>
        <w:t>| </w:t>
      </w:r>
      <w:r>
        <w:rPr/>
        <w:t>Atlanta,</w:t>
      </w:r>
      <w:r>
        <w:rPr>
          <w:spacing w:val="-4"/>
        </w:rPr>
        <w:t> </w:t>
      </w:r>
      <w:r>
        <w:rPr/>
        <w:t>GA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6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38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2026-02-15T12:05:13Z</dcterms:created>
  <dcterms:modified xsi:type="dcterms:W3CDTF">2026-02-15T12:05:13Z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