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07"/>
        <w:rPr>
          <w:rFonts w:ascii="Times New Roman"/>
          <w:sz w:val="78"/>
        </w:rPr>
      </w:pPr>
    </w:p>
    <w:p>
      <w:pPr>
        <w:spacing w:line="941" w:lineRule="exact" w:before="1"/>
        <w:ind w:left="5654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C24B8B"/>
          <w:w w:val="125"/>
          <w:sz w:val="78"/>
        </w:rPr>
        <w:t>Reese</w:t>
      </w:r>
      <w:r>
        <w:rPr>
          <w:rFonts w:ascii="Calibri"/>
          <w:b/>
          <w:color w:val="C24B8B"/>
          <w:spacing w:val="33"/>
          <w:w w:val="130"/>
          <w:sz w:val="78"/>
        </w:rPr>
        <w:t> </w:t>
      </w:r>
      <w:r>
        <w:rPr>
          <w:rFonts w:ascii="Calibri"/>
          <w:color w:val="C24B8B"/>
          <w:spacing w:val="-4"/>
          <w:w w:val="130"/>
          <w:sz w:val="78"/>
        </w:rPr>
        <w:t>King</w:t>
      </w:r>
    </w:p>
    <w:p>
      <w:pPr>
        <w:spacing w:line="306" w:lineRule="exact" w:before="0"/>
        <w:ind w:left="6931" w:right="0" w:firstLine="0"/>
        <w:jc w:val="left"/>
        <w:rPr>
          <w:rFonts w:ascii="Calibri"/>
          <w:sz w:val="26"/>
        </w:rPr>
      </w:pPr>
      <w:r>
        <w:rPr>
          <w:rFonts w:ascii="Calibri"/>
          <w:w w:val="125"/>
          <w:sz w:val="26"/>
        </w:rPr>
        <w:t>Data</w:t>
      </w:r>
      <w:r>
        <w:rPr>
          <w:rFonts w:ascii="Calibri"/>
          <w:spacing w:val="-2"/>
          <w:w w:val="125"/>
          <w:sz w:val="26"/>
        </w:rPr>
        <w:t> </w:t>
      </w:r>
      <w:r>
        <w:rPr>
          <w:rFonts w:ascii="Calibri"/>
          <w:w w:val="125"/>
          <w:sz w:val="26"/>
        </w:rPr>
        <w:t>Entry</w:t>
      </w:r>
      <w:r>
        <w:rPr>
          <w:rFonts w:ascii="Calibri"/>
          <w:spacing w:val="-1"/>
          <w:w w:val="125"/>
          <w:sz w:val="26"/>
        </w:rPr>
        <w:t> </w:t>
      </w:r>
      <w:r>
        <w:rPr>
          <w:rFonts w:ascii="Calibri"/>
          <w:spacing w:val="-2"/>
          <w:w w:val="125"/>
          <w:sz w:val="26"/>
        </w:rPr>
        <w:t>Analyst</w:t>
      </w:r>
    </w:p>
    <w:p>
      <w:pPr>
        <w:pStyle w:val="BodyText"/>
        <w:spacing w:line="247" w:lineRule="auto" w:before="194"/>
        <w:ind w:left="4763" w:right="841"/>
        <w:jc w:val="center"/>
      </w:pPr>
      <w:r>
        <w:rPr/>
        <w:t>Data Entry</w:t>
      </w:r>
      <w:r>
        <w:rPr>
          <w:spacing w:val="-6"/>
        </w:rPr>
        <w:t> </w:t>
      </w:r>
      <w:r>
        <w:rPr/>
        <w:t>Analyst with 9 years of experience cleaning and transforming business datasets to support reporting, audits, and forecasting. Known for spotting inconsistencies and improving how raw data flows into decision-making processes.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181333</wp:posOffset>
                </wp:positionV>
                <wp:extent cx="461581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C24B8B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25"/>
                                <w:w w:val="13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278232pt;width:363.45pt;height:20.25pt;mso-position-horizontal-relative:page;mso-position-vertical-relative:paragraph;z-index:-15728640;mso-wrap-distance-left:0;mso-wrap-distance-right:0" type="#_x0000_t202" id="docshape1" filled="true" fillcolor="#c24b8b" stroked="false">
                <v:textbox inset="0,0,0,0">
                  <w:txbxContent>
                    <w:p>
                      <w:pPr>
                        <w:spacing w:before="94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0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25"/>
                          <w:w w:val="135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9"/>
        <w:rPr>
          <w:sz w:val="20"/>
        </w:rPr>
      </w:pPr>
    </w:p>
    <w:p>
      <w:pPr>
        <w:pStyle w:val="Heading1"/>
      </w:pPr>
      <w:r>
        <w:rPr>
          <w:color w:val="FFFFFF"/>
          <w:w w:val="130"/>
        </w:rPr>
        <w:t>PERSONAL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INFORMATION</w:t>
      </w:r>
    </w:p>
    <w:p>
      <w:pPr>
        <w:pStyle w:val="BodyText"/>
        <w:spacing w:before="71"/>
        <w:rPr>
          <w:rFonts w:ascii="Calibri"/>
          <w:sz w:val="20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1050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50"/>
      </w:pPr>
      <w:r>
        <w:rPr>
          <w:color w:val="FFFFFF"/>
        </w:rPr>
        <w:t>Kansas City,</w:t>
      </w:r>
      <w:r>
        <w:rPr>
          <w:color w:val="FFFFFF"/>
          <w:spacing w:val="1"/>
        </w:rPr>
        <w:t> </w:t>
      </w:r>
      <w:r>
        <w:rPr>
          <w:color w:val="FFFFFF"/>
        </w:rPr>
        <w:t>MO </w:t>
      </w:r>
      <w:r>
        <w:rPr>
          <w:color w:val="FFFFFF"/>
          <w:spacing w:val="-4"/>
        </w:rPr>
        <w:t>64106</w:t>
      </w:r>
    </w:p>
    <w:p>
      <w:pPr>
        <w:pStyle w:val="BodyText"/>
        <w:spacing w:line="175" w:lineRule="exact" w:before="101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15"/>
        </w:rPr>
        <w:t>Data</w:t>
      </w:r>
      <w:r>
        <w:rPr>
          <w:rFonts w:ascii="Calibri"/>
          <w:spacing w:val="4"/>
          <w:w w:val="115"/>
        </w:rPr>
        <w:t> </w:t>
      </w:r>
      <w:r>
        <w:rPr>
          <w:rFonts w:ascii="Calibri"/>
          <w:w w:val="115"/>
        </w:rPr>
        <w:t>Entry</w:t>
      </w:r>
      <w:r>
        <w:rPr>
          <w:rFonts w:ascii="Calibri"/>
          <w:spacing w:val="4"/>
          <w:w w:val="115"/>
        </w:rPr>
        <w:t> </w:t>
      </w:r>
      <w:r>
        <w:rPr>
          <w:rFonts w:ascii="Calibri"/>
          <w:w w:val="115"/>
        </w:rPr>
        <w:t>Analyst</w:t>
      </w:r>
      <w:r>
        <w:rPr>
          <w:rFonts w:ascii="Calibri"/>
          <w:spacing w:val="4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5"/>
          <w:w w:val="115"/>
        </w:rPr>
        <w:t> </w:t>
      </w:r>
      <w:r>
        <w:rPr>
          <w:rFonts w:ascii="Calibri"/>
          <w:w w:val="115"/>
        </w:rPr>
        <w:t>April</w:t>
      </w:r>
      <w:r>
        <w:rPr>
          <w:rFonts w:ascii="Calibri"/>
          <w:spacing w:val="4"/>
          <w:w w:val="115"/>
        </w:rPr>
        <w:t> </w:t>
      </w:r>
      <w:r>
        <w:rPr>
          <w:rFonts w:ascii="Calibri"/>
          <w:w w:val="115"/>
        </w:rPr>
        <w:t>2017</w:t>
      </w:r>
      <w:r>
        <w:rPr>
          <w:rFonts w:ascii="Calibri"/>
          <w:spacing w:val="4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4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line="166" w:lineRule="exact"/>
        <w:ind w:left="139"/>
      </w:pPr>
      <w:r>
        <w:rPr/>
        <w:t>Redwood</w:t>
      </w:r>
      <w:r>
        <w:rPr>
          <w:spacing w:val="-1"/>
        </w:rPr>
        <w:t> </w:t>
      </w:r>
      <w:r>
        <w:rPr/>
        <w:t>Consulting</w:t>
      </w:r>
      <w:r>
        <w:rPr>
          <w:spacing w:val="-1"/>
        </w:rPr>
        <w:t> </w:t>
      </w:r>
      <w:r>
        <w:rPr/>
        <w:t>Group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Kansas City,</w:t>
      </w:r>
      <w:r>
        <w:rPr>
          <w:spacing w:val="-1"/>
        </w:rPr>
        <w:t> </w:t>
      </w:r>
      <w:r>
        <w:rPr>
          <w:spacing w:val="-5"/>
        </w:rPr>
        <w:t>MO</w: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851" w:hanging="298"/>
        <w:jc w:val="left"/>
        <w:rPr>
          <w:sz w:val="15"/>
        </w:rPr>
      </w:pPr>
      <w:r>
        <w:rPr>
          <w:position w:val="1"/>
          <w:sz w:val="15"/>
        </w:rPr>
        <w:t>Transformed</w:t>
      </w:r>
      <w:r>
        <w:rPr>
          <w:spacing w:val="-9"/>
          <w:position w:val="1"/>
          <w:sz w:val="15"/>
        </w:rPr>
        <w:t> </w:t>
      </w:r>
      <w:r>
        <w:rPr>
          <w:position w:val="1"/>
          <w:sz w:val="15"/>
        </w:rPr>
        <w:t>25,000+</w:t>
      </w:r>
      <w:r>
        <w:rPr>
          <w:spacing w:val="-9"/>
          <w:position w:val="1"/>
          <w:sz w:val="15"/>
        </w:rPr>
        <w:t> </w:t>
      </w:r>
      <w:r>
        <w:rPr>
          <w:position w:val="1"/>
          <w:sz w:val="15"/>
        </w:rPr>
        <w:t>raw</w:t>
      </w:r>
      <w:r>
        <w:rPr>
          <w:spacing w:val="-12"/>
          <w:position w:val="1"/>
          <w:sz w:val="15"/>
        </w:rPr>
        <w:t> </w:t>
      </w:r>
      <w:r>
        <w:rPr>
          <w:position w:val="1"/>
          <w:sz w:val="15"/>
        </w:rPr>
        <w:t>entries</w:t>
      </w:r>
      <w:r>
        <w:rPr>
          <w:spacing w:val="-9"/>
          <w:position w:val="1"/>
          <w:sz w:val="15"/>
        </w:rPr>
        <w:t> </w:t>
      </w:r>
      <w:r>
        <w:rPr>
          <w:position w:val="1"/>
          <w:sz w:val="15"/>
        </w:rPr>
        <w:t>into</w:t>
      </w:r>
      <w:r>
        <w:rPr>
          <w:spacing w:val="-9"/>
          <w:position w:val="1"/>
          <w:sz w:val="15"/>
        </w:rPr>
        <w:t> </w:t>
      </w:r>
      <w:r>
        <w:rPr>
          <w:position w:val="1"/>
          <w:sz w:val="15"/>
        </w:rPr>
        <w:t>a</w:t>
      </w:r>
      <w:r>
        <w:rPr>
          <w:spacing w:val="-9"/>
          <w:position w:val="1"/>
          <w:sz w:val="15"/>
        </w:rPr>
        <w:t> </w:t>
      </w:r>
      <w:r>
        <w:rPr>
          <w:position w:val="1"/>
          <w:sz w:val="15"/>
        </w:rPr>
        <w:t>structured,</w:t>
      </w:r>
      <w:r>
        <w:rPr>
          <w:spacing w:val="-9"/>
          <w:position w:val="1"/>
          <w:sz w:val="15"/>
        </w:rPr>
        <w:t> </w:t>
      </w:r>
      <w:r>
        <w:rPr>
          <w:position w:val="1"/>
          <w:sz w:val="15"/>
        </w:rPr>
        <w:t>analysis-ready</w:t>
      </w:r>
      <w:r>
        <w:rPr>
          <w:spacing w:val="-12"/>
          <w:position w:val="1"/>
          <w:sz w:val="15"/>
        </w:rPr>
        <w:t> </w:t>
      </w:r>
      <w:r>
        <w:rPr>
          <w:position w:val="1"/>
          <w:sz w:val="15"/>
        </w:rPr>
        <w:t>format</w:t>
      </w:r>
      <w:r>
        <w:rPr>
          <w:spacing w:val="-9"/>
          <w:position w:val="1"/>
          <w:sz w:val="15"/>
        </w:rPr>
        <w:t> </w:t>
      </w:r>
      <w:r>
        <w:rPr>
          <w:position w:val="1"/>
          <w:sz w:val="15"/>
        </w:rPr>
        <w:t>for</w:t>
      </w:r>
      <w:r>
        <w:rPr>
          <w:spacing w:val="-12"/>
          <w:position w:val="1"/>
          <w:sz w:val="15"/>
        </w:rPr>
        <w:t> </w:t>
      </w:r>
      <w:r>
        <w:rPr>
          <w:position w:val="1"/>
          <w:sz w:val="15"/>
        </w:rPr>
        <w:t>client </w:t>
      </w:r>
      <w:r>
        <w:rPr>
          <w:sz w:val="15"/>
        </w:rPr>
        <w:t>dashboards and audits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2" w:after="0"/>
        <w:ind w:left="715" w:right="476" w:hanging="298"/>
        <w:jc w:val="left"/>
        <w:rPr>
          <w:sz w:val="15"/>
        </w:rPr>
      </w:pPr>
      <w:r>
        <w:rPr>
          <w:position w:val="1"/>
          <w:sz w:val="15"/>
        </w:rPr>
        <w:t>Partnered</w:t>
      </w:r>
      <w:r>
        <w:rPr>
          <w:spacing w:val="-7"/>
          <w:position w:val="1"/>
          <w:sz w:val="15"/>
        </w:rPr>
        <w:t> </w:t>
      </w:r>
      <w:r>
        <w:rPr>
          <w:position w:val="1"/>
          <w:sz w:val="15"/>
        </w:rPr>
        <w:t>with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the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data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science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team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to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clean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financial</w:t>
      </w:r>
      <w:r>
        <w:rPr>
          <w:spacing w:val="-7"/>
          <w:position w:val="1"/>
          <w:sz w:val="15"/>
        </w:rPr>
        <w:t> </w:t>
      </w:r>
      <w:r>
        <w:rPr>
          <w:position w:val="1"/>
          <w:sz w:val="15"/>
        </w:rPr>
        <w:t>data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ahead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of</w:t>
      </w:r>
      <w:r>
        <w:rPr>
          <w:spacing w:val="-6"/>
          <w:position w:val="1"/>
          <w:sz w:val="15"/>
        </w:rPr>
        <w:t> </w:t>
      </w:r>
      <w:r>
        <w:rPr>
          <w:position w:val="1"/>
          <w:sz w:val="15"/>
        </w:rPr>
        <w:t>machine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learning </w:t>
      </w:r>
      <w:r>
        <w:rPr>
          <w:sz w:val="15"/>
        </w:rPr>
        <w:t>model</w:t>
      </w:r>
      <w:r>
        <w:rPr>
          <w:spacing w:val="-12"/>
          <w:sz w:val="15"/>
        </w:rPr>
        <w:t> </w:t>
      </w:r>
      <w:r>
        <w:rPr>
          <w:sz w:val="15"/>
        </w:rPr>
        <w:t>testing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11" w:after="0"/>
        <w:ind w:left="715" w:right="0" w:hanging="298"/>
        <w:jc w:val="left"/>
        <w:rPr>
          <w:sz w:val="15"/>
        </w:rPr>
      </w:pPr>
      <w:r>
        <w:rPr>
          <w:sz w:val="15"/>
        </w:rPr>
        <w:t>Developed a</w:t>
      </w:r>
      <w:r>
        <w:rPr>
          <w:spacing w:val="1"/>
          <w:sz w:val="15"/>
        </w:rPr>
        <w:t> </w:t>
      </w:r>
      <w:r>
        <w:rPr>
          <w:sz w:val="15"/>
        </w:rPr>
        <w:t>standard data</w:t>
      </w:r>
      <w:r>
        <w:rPr>
          <w:spacing w:val="1"/>
          <w:sz w:val="15"/>
        </w:rPr>
        <w:t> </w:t>
      </w:r>
      <w:r>
        <w:rPr>
          <w:sz w:val="15"/>
        </w:rPr>
        <w:t>prep guide</w:t>
      </w:r>
      <w:r>
        <w:rPr>
          <w:spacing w:val="1"/>
          <w:sz w:val="15"/>
        </w:rPr>
        <w:t> </w:t>
      </w:r>
      <w:r>
        <w:rPr>
          <w:sz w:val="15"/>
        </w:rPr>
        <w:t>that cut</w:t>
      </w:r>
      <w:r>
        <w:rPr>
          <w:spacing w:val="1"/>
          <w:sz w:val="15"/>
        </w:rPr>
        <w:t> </w:t>
      </w:r>
      <w:r>
        <w:rPr>
          <w:sz w:val="15"/>
        </w:rPr>
        <w:t>new</w:t>
      </w:r>
      <w:r>
        <w:rPr>
          <w:spacing w:val="-5"/>
          <w:sz w:val="15"/>
        </w:rPr>
        <w:t> </w:t>
      </w:r>
      <w:r>
        <w:rPr>
          <w:sz w:val="15"/>
        </w:rPr>
        <w:t>analyst</w:t>
      </w:r>
      <w:r>
        <w:rPr>
          <w:spacing w:val="1"/>
          <w:sz w:val="15"/>
        </w:rPr>
        <w:t> </w:t>
      </w:r>
      <w:r>
        <w:rPr>
          <w:sz w:val="15"/>
        </w:rPr>
        <w:t>onboarding time</w:t>
      </w:r>
      <w:r>
        <w:rPr>
          <w:spacing w:val="1"/>
          <w:sz w:val="15"/>
        </w:rPr>
        <w:t> </w:t>
      </w:r>
      <w:r>
        <w:rPr>
          <w:sz w:val="15"/>
        </w:rPr>
        <w:t>by</w:t>
      </w:r>
      <w:r>
        <w:rPr>
          <w:spacing w:val="-4"/>
          <w:sz w:val="15"/>
        </w:rPr>
        <w:t> </w:t>
      </w:r>
      <w:r>
        <w:rPr>
          <w:spacing w:val="-5"/>
          <w:sz w:val="15"/>
        </w:rPr>
        <w:t>35%</w:t>
      </w:r>
    </w:p>
    <w:p>
      <w:pPr>
        <w:pStyle w:val="BodyText"/>
        <w:spacing w:before="40"/>
      </w:pPr>
    </w:p>
    <w:p>
      <w:pPr>
        <w:pStyle w:val="BodyText"/>
        <w:spacing w:line="175" w:lineRule="exact"/>
        <w:ind w:left="139"/>
        <w:rPr>
          <w:rFonts w:ascii="Calibri" w:hAnsi="Calibri"/>
        </w:rPr>
      </w:pPr>
      <w:r>
        <w:rPr>
          <w:rFonts w:ascii="Calibri" w:hAnsi="Calibri"/>
          <w:w w:val="110"/>
        </w:rPr>
        <w:t>Operations</w:t>
      </w:r>
      <w:r>
        <w:rPr>
          <w:rFonts w:ascii="Calibri" w:hAnsi="Calibri"/>
          <w:spacing w:val="26"/>
          <w:w w:val="110"/>
        </w:rPr>
        <w:t> </w:t>
      </w:r>
      <w:r>
        <w:rPr>
          <w:rFonts w:ascii="Calibri" w:hAnsi="Calibri"/>
          <w:w w:val="110"/>
        </w:rPr>
        <w:t>Assistant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  <w:w w:val="110"/>
        </w:rPr>
        <w:t>–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  <w:w w:val="110"/>
        </w:rPr>
        <w:t>Data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  <w:w w:val="110"/>
        </w:rPr>
        <w:t>Team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  <w:w w:val="110"/>
        </w:rPr>
        <w:t>August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  <w:w w:val="110"/>
        </w:rPr>
        <w:t>2014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  <w:w w:val="110"/>
        </w:rPr>
        <w:t>-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  <w:w w:val="110"/>
        </w:rPr>
        <w:t>March</w:t>
      </w:r>
      <w:r>
        <w:rPr>
          <w:rFonts w:ascii="Calibri" w:hAnsi="Calibri"/>
          <w:spacing w:val="27"/>
          <w:w w:val="110"/>
        </w:rPr>
        <w:t> </w:t>
      </w:r>
      <w:r>
        <w:rPr>
          <w:rFonts w:ascii="Calibri" w:hAnsi="Calibri"/>
          <w:spacing w:val="-4"/>
          <w:w w:val="110"/>
        </w:rPr>
        <w:t>2017</w:t>
      </w:r>
    </w:p>
    <w:p>
      <w:pPr>
        <w:pStyle w:val="BodyText"/>
        <w:spacing w:line="166" w:lineRule="exact"/>
        <w:ind w:left="139"/>
      </w:pPr>
      <w:r>
        <w:rPr/>
        <w:t>Orion</w:t>
      </w:r>
      <w:r>
        <w:rPr>
          <w:spacing w:val="-12"/>
        </w:rPr>
        <w:t> </w:t>
      </w:r>
      <w:r>
        <w:rPr/>
        <w:t>Tech</w:t>
      </w:r>
      <w:r>
        <w:rPr>
          <w:spacing w:val="-12"/>
        </w:rPr>
        <w:t> </w:t>
      </w:r>
      <w:r>
        <w:rPr/>
        <w:t>Solutions</w:t>
      </w:r>
      <w:r>
        <w:rPr>
          <w:spacing w:val="-11"/>
        </w:rPr>
        <w:t> </w:t>
      </w:r>
      <w:r>
        <w:rPr>
          <w:w w:val="80"/>
        </w:rPr>
        <w:t>|</w:t>
      </w:r>
      <w:r>
        <w:rPr>
          <w:spacing w:val="-2"/>
          <w:w w:val="80"/>
        </w:rPr>
        <w:t> </w:t>
      </w:r>
      <w:r>
        <w:rPr/>
        <w:t>Kansas</w:t>
      </w:r>
      <w:r>
        <w:rPr>
          <w:spacing w:val="-11"/>
        </w:rPr>
        <w:t> </w:t>
      </w:r>
      <w:r>
        <w:rPr/>
        <w:t>City,</w:t>
      </w:r>
      <w:r>
        <w:rPr>
          <w:spacing w:val="-10"/>
        </w:rPr>
        <w:t> </w:t>
      </w:r>
      <w:r>
        <w:rPr>
          <w:spacing w:val="-5"/>
        </w:rPr>
        <w:t>MO</w:t>
      </w:r>
    </w:p>
    <w:p>
      <w:pPr>
        <w:pStyle w:val="BodyText"/>
        <w:spacing w:after="0" w:line="166" w:lineRule="exact"/>
        <w:sectPr>
          <w:type w:val="continuous"/>
          <w:pgSz w:w="11920" w:h="16860"/>
          <w:pgMar w:top="0" w:bottom="0" w:left="141" w:right="0"/>
          <w:cols w:num="2" w:equalWidth="0">
            <w:col w:w="2919" w:space="1713"/>
            <w:col w:w="7147"/>
          </w:cols>
        </w:sectPr>
      </w:pP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207"/>
        <w:rPr>
          <w:sz w:val="20"/>
        </w:rPr>
      </w:pPr>
    </w:p>
    <w:p>
      <w:pPr>
        <w:pStyle w:val="Heading1"/>
        <w:spacing w:before="1"/>
      </w:pPr>
      <w:r>
        <w:rPr>
          <w:color w:val="FFFFFF"/>
          <w:w w:val="135"/>
        </w:rPr>
        <w:t>KEY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before="11"/>
        <w:rPr>
          <w:rFonts w:ascii="Calibri"/>
          <w:sz w:val="20"/>
        </w:rPr>
      </w:pPr>
    </w:p>
    <w:p>
      <w:pPr>
        <w:pStyle w:val="BodyText"/>
        <w:spacing w:line="372" w:lineRule="auto"/>
        <w:ind w:left="882" w:right="38"/>
      </w:pPr>
      <w:r>
        <w:rPr>
          <w:color w:val="FFFFFF"/>
          <w:w w:val="105"/>
        </w:rPr>
        <w:t>Advanced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Excel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macros Audit-ready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data prep</w:t>
      </w:r>
    </w:p>
    <w:p>
      <w:pPr>
        <w:pStyle w:val="BodyText"/>
        <w:spacing w:line="376" w:lineRule="auto"/>
        <w:ind w:left="882" w:right="82"/>
      </w:pPr>
      <w:r>
        <w:rPr>
          <w:color w:val="FFFFFF"/>
        </w:rPr>
        <w:t>BI and dashboard support Dataset</w:t>
      </w:r>
      <w:r>
        <w:rPr>
          <w:color w:val="FFFFFF"/>
          <w:spacing w:val="-13"/>
        </w:rPr>
        <w:t> </w:t>
      </w:r>
      <w:r>
        <w:rPr>
          <w:color w:val="FFFFFF"/>
        </w:rPr>
        <w:t>transformation Financial data cleanup Source-to-report</w:t>
      </w:r>
      <w:r>
        <w:rPr>
          <w:color w:val="FFFFFF"/>
          <w:spacing w:val="-12"/>
        </w:rPr>
        <w:t> </w:t>
      </w:r>
      <w:r>
        <w:rPr>
          <w:color w:val="FFFFFF"/>
        </w:rPr>
        <w:t>workflows Variance</w:t>
      </w:r>
      <w:r>
        <w:rPr>
          <w:color w:val="FFFFFF"/>
          <w:spacing w:val="-13"/>
        </w:rPr>
        <w:t> </w:t>
      </w:r>
      <w:r>
        <w:rPr>
          <w:color w:val="FFFFFF"/>
        </w:rPr>
        <w:t>analysis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7" w:lineRule="auto" w:before="99" w:after="0"/>
        <w:ind w:left="417" w:right="599" w:hanging="298"/>
        <w:jc w:val="left"/>
        <w:rPr>
          <w:sz w:val="15"/>
        </w:rPr>
      </w:pPr>
      <w:r>
        <w:rPr/>
        <w:br w:type="column"/>
      </w:r>
      <w:r>
        <w:rPr>
          <w:sz w:val="15"/>
        </w:rPr>
        <w:t>Flagged input anomalies and</w:t>
      </w:r>
      <w:r>
        <w:rPr>
          <w:spacing w:val="-4"/>
          <w:sz w:val="15"/>
        </w:rPr>
        <w:t> </w:t>
      </w:r>
      <w:r>
        <w:rPr>
          <w:sz w:val="15"/>
        </w:rPr>
        <w:t>worked</w:t>
      </w:r>
      <w:r>
        <w:rPr>
          <w:spacing w:val="-4"/>
          <w:sz w:val="15"/>
        </w:rPr>
        <w:t> </w:t>
      </w:r>
      <w:r>
        <w:rPr>
          <w:sz w:val="15"/>
        </w:rPr>
        <w:t>with BI team to correct $92K</w:t>
      </w:r>
      <w:r>
        <w:rPr>
          <w:spacing w:val="-6"/>
          <w:sz w:val="15"/>
        </w:rPr>
        <w:t> </w:t>
      </w:r>
      <w:r>
        <w:rPr>
          <w:sz w:val="15"/>
        </w:rPr>
        <w:t>variance in a client revenue</w:t>
      </w:r>
      <w:r>
        <w:rPr>
          <w:spacing w:val="-13"/>
          <w:sz w:val="15"/>
        </w:rPr>
        <w:t> </w:t>
      </w:r>
      <w:r>
        <w:rPr>
          <w:sz w:val="15"/>
        </w:rPr>
        <w:t>report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97" w:after="0"/>
        <w:ind w:left="417" w:right="0" w:hanging="297"/>
        <w:jc w:val="left"/>
        <w:rPr>
          <w:position w:val="1"/>
          <w:sz w:val="15"/>
        </w:rPr>
      </w:pPr>
      <w:r>
        <w:rPr>
          <w:position w:val="1"/>
          <w:sz w:val="15"/>
        </w:rPr>
        <w:t>Supported quarterly</w:t>
      </w:r>
      <w:r>
        <w:rPr>
          <w:spacing w:val="-5"/>
          <w:position w:val="1"/>
          <w:sz w:val="15"/>
        </w:rPr>
        <w:t> </w:t>
      </w:r>
      <w:r>
        <w:rPr>
          <w:position w:val="1"/>
          <w:sz w:val="15"/>
        </w:rPr>
        <w:t>reconciliations by</w:t>
      </w:r>
      <w:r>
        <w:rPr>
          <w:spacing w:val="-5"/>
          <w:position w:val="1"/>
          <w:sz w:val="15"/>
        </w:rPr>
        <w:t> </w:t>
      </w:r>
      <w:r>
        <w:rPr>
          <w:position w:val="1"/>
          <w:sz w:val="15"/>
        </w:rPr>
        <w:t>prepping datasets for</w:t>
      </w:r>
      <w:r>
        <w:rPr>
          <w:spacing w:val="-3"/>
          <w:position w:val="1"/>
          <w:sz w:val="15"/>
        </w:rPr>
        <w:t> </w:t>
      </w:r>
      <w:r>
        <w:rPr>
          <w:position w:val="1"/>
          <w:sz w:val="15"/>
        </w:rPr>
        <w:t>cross-platform </w:t>
      </w:r>
      <w:r>
        <w:rPr>
          <w:spacing w:val="-2"/>
          <w:position w:val="1"/>
          <w:sz w:val="15"/>
        </w:rPr>
        <w:t>alignment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95" w:after="0"/>
        <w:ind w:left="417" w:right="534" w:hanging="298"/>
        <w:jc w:val="left"/>
        <w:rPr>
          <w:sz w:val="15"/>
        </w:rPr>
      </w:pPr>
      <w:r>
        <w:rPr>
          <w:position w:val="1"/>
          <w:sz w:val="15"/>
        </w:rPr>
        <w:t>Created macros that accelerated multi-tab data consolidation for</w:t>
      </w:r>
      <w:r>
        <w:rPr>
          <w:spacing w:val="-2"/>
          <w:position w:val="1"/>
          <w:sz w:val="15"/>
        </w:rPr>
        <w:t> </w:t>
      </w:r>
      <w:r>
        <w:rPr>
          <w:position w:val="1"/>
          <w:sz w:val="15"/>
        </w:rPr>
        <w:t>monthly</w:t>
      </w:r>
      <w:r>
        <w:rPr>
          <w:spacing w:val="-3"/>
          <w:position w:val="1"/>
          <w:sz w:val="15"/>
        </w:rPr>
        <w:t> </w:t>
      </w:r>
      <w:r>
        <w:rPr>
          <w:position w:val="1"/>
          <w:sz w:val="15"/>
        </w:rPr>
        <w:t>stakeholder </w:t>
      </w:r>
      <w:r>
        <w:rPr>
          <w:spacing w:val="-2"/>
          <w:sz w:val="15"/>
        </w:rPr>
        <w:t>reporting</w:t>
      </w:r>
    </w:p>
    <w:p>
      <w:pPr>
        <w:pStyle w:val="BodyText"/>
        <w:spacing w:before="35" w:after="1"/>
        <w:rPr>
          <w:sz w:val="20"/>
        </w:rPr>
      </w:pPr>
    </w:p>
    <w:p>
      <w:pPr>
        <w:spacing w:line="240" w:lineRule="auto"/>
        <w:ind w:left="-42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667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266700"/>
                        </a:xfrm>
                        <a:prstGeom prst="rect">
                          <a:avLst/>
                        </a:prstGeom>
                        <a:solidFill>
                          <a:srgbClr val="C24B8B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0"/>
                                <w:sz w:val="20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1pt;mso-position-horizontal-relative:char;mso-position-vertical-relative:line" type="#_x0000_t202" id="docshape2" filled="true" fillcolor="#c24b8b" stroked="false">
                <w10:anchorlock/>
                <v:textbox inset="0,0,0,0">
                  <w:txbxContent>
                    <w:p>
                      <w:pPr>
                        <w:spacing w:before="94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0"/>
                          <w:sz w:val="20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"/>
      </w:pPr>
    </w:p>
    <w:p>
      <w:pPr>
        <w:pStyle w:val="BodyText"/>
        <w:spacing w:before="1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42436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3.341493pt;width:3.75pt;height:3.75pt;mso-position-horizontal-relative:page;mso-position-vertical-relative:paragraph;z-index:15730176" id="docshape3" coordorigin="4905,67" coordsize="75,75" path="m4948,142l4937,142,4932,141,4905,110,4905,105,4905,99,4937,67,4948,67,4980,99,4980,110,4953,141,4948,14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Certified</w:t>
      </w:r>
      <w:r>
        <w:rPr>
          <w:spacing w:val="-6"/>
        </w:rPr>
        <w:t> </w:t>
      </w:r>
      <w:r>
        <w:rPr/>
        <w:t>Data</w:t>
      </w:r>
      <w:r>
        <w:rPr>
          <w:spacing w:val="-9"/>
        </w:rPr>
        <w:t> </w:t>
      </w:r>
      <w:r>
        <w:rPr/>
        <w:t>Technician,</w:t>
      </w:r>
      <w:r>
        <w:rPr>
          <w:spacing w:val="-5"/>
        </w:rPr>
        <w:t> </w:t>
      </w:r>
      <w:r>
        <w:rPr/>
        <w:t>Data</w:t>
      </w:r>
      <w:r>
        <w:rPr>
          <w:spacing w:val="-5"/>
        </w:rPr>
        <w:t> </w:t>
      </w:r>
      <w:r>
        <w:rPr/>
        <w:t>Management</w:t>
      </w:r>
      <w:r>
        <w:rPr>
          <w:spacing w:val="-10"/>
        </w:rPr>
        <w:t> </w:t>
      </w:r>
      <w:r>
        <w:rPr/>
        <w:t>Association</w:t>
      </w:r>
      <w:r>
        <w:rPr>
          <w:spacing w:val="-5"/>
        </w:rPr>
        <w:t> </w:t>
      </w:r>
      <w:r>
        <w:rPr/>
        <w:t>(DAMA),</w:t>
      </w:r>
      <w:r>
        <w:rPr>
          <w:spacing w:val="-10"/>
        </w:rPr>
        <w:t> </w:t>
      </w:r>
      <w:r>
        <w:rPr/>
        <w:t>January</w:t>
      </w:r>
      <w:r>
        <w:rPr>
          <w:spacing w:val="-9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868" w:space="2061"/>
            <w:col w:w="6850"/>
          </w:cols>
        </w:sectPr>
      </w:pPr>
    </w:p>
    <w:p>
      <w:pPr>
        <w:pStyle w:val="BodyText"/>
        <w:spacing w:before="15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57187" y="494347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91922"/>
                                </a:moveTo>
                                <a:lnTo>
                                  <a:pt x="27165" y="171450"/>
                                </a:lnTo>
                                <a:lnTo>
                                  <a:pt x="20472" y="171450"/>
                                </a:lnTo>
                                <a:lnTo>
                                  <a:pt x="0" y="191922"/>
                                </a:lnTo>
                                <a:lnTo>
                                  <a:pt x="0" y="195491"/>
                                </a:lnTo>
                                <a:lnTo>
                                  <a:pt x="0" y="198615"/>
                                </a:lnTo>
                                <a:lnTo>
                                  <a:pt x="20472" y="219075"/>
                                </a:lnTo>
                                <a:lnTo>
                                  <a:pt x="27165" y="219075"/>
                                </a:lnTo>
                                <a:lnTo>
                                  <a:pt x="47625" y="198615"/>
                                </a:lnTo>
                                <a:lnTo>
                                  <a:pt x="47625" y="1919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7008" id="docshapegroup4" coordorigin="0,0" coordsize="4410,16860">
                <v:rect style="position:absolute;left:0;top:0;width:4410;height:16860" id="docshape5" filled="true" fillcolor="#c24b8b" stroked="false">
                  <v:fill type="solid"/>
                </v:rect>
                <v:rect style="position:absolute;left:855;top:930;width:2700;height:3135" id="docshape6" filled="false" stroked="true" strokeweight="3.0pt" strokecolor="#ffffff">
                  <v:stroke dashstyle="solid"/>
                </v:rect>
                <v:shape style="position:absolute;left:885;top:960;width:2640;height:3075" type="#_x0000_t75" id="docshape7" stroked="false">
                  <v:imagedata r:id="rId6" o:title=""/>
                </v:shape>
                <v:shape style="position:absolute;left:720;top:5340;width:317;height:317" type="#_x0000_t75" id="docshape8" stroked="false">
                  <v:imagedata r:id="rId7" o:title=""/>
                </v:shape>
                <v:shape style="position:absolute;left:740;top:5880;width:275;height:317" type="#_x0000_t75" id="docshape9" stroked="false">
                  <v:imagedata r:id="rId8" o:title=""/>
                </v:shape>
                <v:shape style="position:absolute;left:721;top:6420;width:315;height:317" type="#_x0000_t75" id="docshape10" stroked="false">
                  <v:imagedata r:id="rId9" o:title=""/>
                </v:shape>
                <v:shape style="position:absolute;left:719;top:7785;width:75;height:2865" id="docshape11" coordorigin="720,7785" coordsize="75,2865" path="m795,10607l794,10602,790,10593,788,10589,781,10582,777,10580,768,10576,763,10575,752,10575,747,10576,738,10580,734,10582,727,10589,725,10593,721,10602,720,10607,720,10613,720,10618,721,10623,725,10632,727,10636,734,10643,738,10645,747,10649,752,10650,763,10650,768,10649,777,10645,781,10643,788,10636,790,10632,794,10623,795,10618,795,10607xm795,9452l794,9447,790,9438,788,9434,781,9427,777,9425,768,9421,763,9420,752,9420,747,9421,738,9425,734,9427,727,9434,725,9438,721,9447,720,9452,720,9458,720,9463,721,9468,725,9477,727,9481,734,9488,738,9490,747,9494,752,9495,763,9495,768,9494,777,9490,781,9488,788,9481,790,9477,794,9468,795,9463,795,9452xm795,9182l794,9177,790,9168,788,9164,781,9157,777,9155,768,9151,763,9150,752,9150,747,9151,738,9155,734,9157,727,9164,725,9168,721,9177,720,9182,720,9188,720,9193,721,9198,725,9207,727,9211,734,9218,738,9220,747,9224,752,9225,763,9225,768,9224,777,9220,781,9218,788,9211,790,9207,794,9198,795,9193,795,9182xm795,8912l794,8907,790,8898,788,8894,781,8887,777,8885,768,8881,763,8880,752,8880,747,8881,738,8885,734,8887,727,8894,725,8898,721,8907,720,8912,720,8918,720,8923,721,8928,725,8937,727,8941,734,8948,738,8950,747,8954,752,8955,763,8955,768,8954,777,8950,781,8948,788,8941,790,8937,794,8928,795,8923,795,8912xm795,8642l794,8637,790,8628,788,8624,781,8617,777,8615,768,8611,763,8610,752,8610,747,8611,738,8615,734,8617,727,8624,725,8628,721,8637,720,8642,720,8648,720,8653,721,8658,725,8667,727,8671,734,8678,738,8680,747,8684,752,8685,763,8685,768,8684,777,8680,781,8678,788,8671,790,8667,794,8658,795,8653,795,8642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87l794,8082,790,8073,788,8069,781,8062,777,8060,768,8056,763,8055,752,8055,747,8056,738,8060,734,8062,727,8069,725,8073,721,8082,720,8087,720,8093,720,8098,721,8103,725,8112,727,8116,734,8123,738,8125,747,8129,752,8130,763,8130,768,8129,777,8125,781,8123,788,8116,790,8112,794,8103,795,8098,795,8087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  <w:w w:val="130"/>
        </w:rPr>
        <w:t>EDUCATION</w:t>
      </w:r>
    </w:p>
    <w:p>
      <w:pPr>
        <w:pStyle w:val="BodyText"/>
        <w:spacing w:before="85"/>
        <w:rPr>
          <w:rFonts w:ascii="Calibri"/>
        </w:rPr>
      </w:pPr>
    </w:p>
    <w:p>
      <w:pPr>
        <w:pStyle w:val="Heading2"/>
      </w:pPr>
      <w:r>
        <w:rPr>
          <w:color w:val="FFFFFF"/>
          <w:w w:val="125"/>
        </w:rPr>
        <w:t>Bachelor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Science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(B.S.)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2"/>
          <w:w w:val="125"/>
        </w:rPr>
        <w:t> Economics</w:t>
      </w:r>
    </w:p>
    <w:p>
      <w:pPr>
        <w:pStyle w:val="BodyText"/>
        <w:spacing w:before="74"/>
        <w:ind w:left="882"/>
      </w:pPr>
      <w:r>
        <w:rPr>
          <w:color w:val="FFFFFF"/>
          <w:w w:val="105"/>
        </w:rPr>
        <w:t>May </w:t>
      </w:r>
      <w:r>
        <w:rPr>
          <w:color w:val="FFFFFF"/>
          <w:spacing w:val="-4"/>
          <w:w w:val="105"/>
        </w:rPr>
        <w:t>2014</w:t>
      </w:r>
    </w:p>
    <w:p>
      <w:pPr>
        <w:pStyle w:val="BodyText"/>
        <w:spacing w:before="6"/>
        <w:ind w:left="882"/>
      </w:pPr>
      <w:r>
        <w:rPr>
          <w:color w:val="FFFFFF"/>
        </w:rPr>
        <w:t>University</w:t>
      </w:r>
      <w:r>
        <w:rPr>
          <w:color w:val="FFFFFF"/>
          <w:spacing w:val="-12"/>
        </w:rPr>
        <w:t> </w:t>
      </w:r>
      <w:r>
        <w:rPr>
          <w:color w:val="FFFFFF"/>
        </w:rPr>
        <w:t>of</w:t>
      </w:r>
      <w:r>
        <w:rPr>
          <w:color w:val="FFFFFF"/>
          <w:spacing w:val="-12"/>
        </w:rPr>
        <w:t> </w:t>
      </w:r>
      <w:r>
        <w:rPr>
          <w:color w:val="FFFFFF"/>
        </w:rPr>
        <w:t>Missouri,</w:t>
      </w:r>
      <w:r>
        <w:rPr>
          <w:color w:val="FFFFFF"/>
          <w:spacing w:val="-11"/>
        </w:rPr>
        <w:t> </w:t>
      </w:r>
      <w:r>
        <w:rPr>
          <w:color w:val="FFFFFF"/>
        </w:rPr>
        <w:t>Columbia,</w:t>
      </w:r>
      <w:r>
        <w:rPr>
          <w:color w:val="FFFFFF"/>
          <w:spacing w:val="-9"/>
        </w:rPr>
        <w:t> </w:t>
      </w:r>
      <w:r>
        <w:rPr>
          <w:color w:val="FFFFFF"/>
          <w:spacing w:val="-5"/>
        </w:rPr>
        <w:t>MO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2026-02-12T17:08:17Z</dcterms:created>
  <dcterms:modified xsi:type="dcterms:W3CDTF">2026-02-12T17:08:17Z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