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48" w:right="0" w:firstLine="0"/>
        <w:jc w:val="left"/>
        <w:rPr>
          <w:rFonts w:ascii="Calibri"/>
          <w:sz w:val="74"/>
        </w:rPr>
      </w:pPr>
      <w:r>
        <w:rPr>
          <w:rFonts w:ascii="Calibri"/>
          <w:b/>
          <w:color w:val="FFFFFF"/>
          <w:spacing w:val="11"/>
          <w:w w:val="125"/>
          <w:sz w:val="74"/>
        </w:rPr>
        <w:t>Daniel</w:t>
      </w:r>
      <w:r>
        <w:rPr>
          <w:rFonts w:ascii="Calibri"/>
          <w:b/>
          <w:color w:val="FFFFFF"/>
          <w:spacing w:val="75"/>
          <w:w w:val="125"/>
          <w:sz w:val="74"/>
        </w:rPr>
        <w:t> </w:t>
      </w:r>
      <w:r>
        <w:rPr>
          <w:rFonts w:ascii="Calibri"/>
          <w:color w:val="FFFFFF"/>
          <w:spacing w:val="-2"/>
          <w:w w:val="125"/>
          <w:sz w:val="74"/>
        </w:rPr>
        <w:t>Foster</w:t>
      </w:r>
    </w:p>
    <w:p>
      <w:pPr>
        <w:pStyle w:val="Heading1"/>
        <w:spacing w:before="116"/>
        <w:ind w:left="448"/>
      </w:pPr>
      <w:r>
        <w:rPr>
          <w:color w:val="FFFFFF"/>
          <w:w w:val="130"/>
        </w:rPr>
        <w:t>HR</w:t>
      </w:r>
      <w:r>
        <w:rPr>
          <w:color w:val="FFFFFF"/>
          <w:spacing w:val="25"/>
          <w:w w:val="130"/>
        </w:rPr>
        <w:t> </w:t>
      </w:r>
      <w:r>
        <w:rPr>
          <w:color w:val="FFFFFF"/>
          <w:w w:val="130"/>
        </w:rPr>
        <w:t>Business</w:t>
      </w:r>
      <w:r>
        <w:rPr>
          <w:color w:val="FFFFFF"/>
          <w:spacing w:val="26"/>
          <w:w w:val="130"/>
        </w:rPr>
        <w:t> </w:t>
      </w:r>
      <w:r>
        <w:rPr>
          <w:color w:val="FFFFFF"/>
          <w:spacing w:val="-2"/>
          <w:w w:val="130"/>
        </w:rPr>
        <w:t>Partner</w:t>
      </w:r>
    </w:p>
    <w:p>
      <w:pPr>
        <w:spacing w:before="151"/>
        <w:ind w:left="448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HR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z w:val="16"/>
        </w:rPr>
        <w:t>business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z w:val="16"/>
        </w:rPr>
        <w:t>partner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z w:val="16"/>
        </w:rPr>
        <w:t>expertise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z w:val="16"/>
        </w:rPr>
        <w:t>talent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z w:val="16"/>
        </w:rPr>
        <w:t>strategy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workforce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pacing w:val="-2"/>
          <w:sz w:val="16"/>
        </w:rPr>
        <w:t>planning</w:t>
      </w:r>
    </w:p>
    <w:p>
      <w:pPr>
        <w:spacing w:line="271" w:lineRule="auto" w:before="24"/>
        <w:ind w:left="448" w:right="0" w:firstLine="0"/>
        <w:jc w:val="left"/>
        <w:rPr>
          <w:sz w:val="16"/>
        </w:rPr>
      </w:pPr>
      <w:r>
        <w:rPr>
          <w:color w:val="FFFFFF"/>
          <w:sz w:val="16"/>
        </w:rPr>
        <w:t>Results-driven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HR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professional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10+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collaborating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leadership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teams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to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drive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organizational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growth, improve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retention,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optimize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talent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management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strategies.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850"/>
        </w:sectPr>
      </w:pPr>
    </w:p>
    <w:p>
      <w:pPr>
        <w:pStyle w:val="Heading1"/>
        <w:spacing w:before="106"/>
      </w:pPr>
      <w:r>
        <w:rPr>
          <w:color w:val="6A0000"/>
          <w:w w:val="130"/>
        </w:rPr>
        <w:t>PERSONAL</w:t>
      </w:r>
      <w:r>
        <w:rPr>
          <w:color w:val="6A0000"/>
          <w:spacing w:val="57"/>
          <w:w w:val="130"/>
        </w:rPr>
        <w:t> </w:t>
      </w:r>
      <w:r>
        <w:rPr>
          <w:color w:val="6A0000"/>
          <w:spacing w:val="-2"/>
          <w:w w:val="125"/>
        </w:rPr>
        <w:t>INFORMATION</w:t>
      </w:r>
    </w:p>
    <w:p>
      <w:pPr>
        <w:pStyle w:val="BodyText"/>
        <w:spacing w:before="119"/>
        <w:rPr>
          <w:rFonts w:ascii="Calibri"/>
          <w:b/>
          <w:sz w:val="22"/>
        </w:rPr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(123)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color w:val="6A0000"/>
          <w:spacing w:val="2"/>
          <w:w w:val="130"/>
        </w:rPr>
        <w:t>PROFESSIONAL</w:t>
      </w:r>
      <w:r>
        <w:rPr>
          <w:color w:val="6A0000"/>
          <w:spacing w:val="55"/>
          <w:w w:val="135"/>
        </w:rPr>
        <w:t> </w:t>
      </w:r>
      <w:r>
        <w:rPr>
          <w:color w:val="6A0000"/>
          <w:spacing w:val="-2"/>
          <w:w w:val="135"/>
        </w:rPr>
        <w:t>EXPERIENCE</w:t>
      </w:r>
    </w:p>
    <w:p>
      <w:pPr>
        <w:pStyle w:val="BodyText"/>
        <w:spacing w:before="57"/>
        <w:rPr>
          <w:rFonts w:ascii="Calibri"/>
          <w:b/>
          <w:sz w:val="22"/>
        </w:rPr>
      </w:pPr>
    </w:p>
    <w:p>
      <w:pPr>
        <w:pStyle w:val="BodyText"/>
        <w:spacing w:line="266" w:lineRule="auto"/>
        <w:ind w:left="225" w:right="794"/>
      </w:pPr>
      <w:r>
        <w:rPr>
          <w:w w:val="105"/>
        </w:rPr>
        <w:t>HR BUSINESS PARTNER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GLOBAL SOLUTIONS INC. </w:t>
      </w:r>
      <w:r>
        <w:rPr>
          <w:w w:val="85"/>
        </w:rPr>
        <w:t>|</w:t>
      </w:r>
      <w:r>
        <w:rPr>
          <w:w w:val="105"/>
        </w:rPr>
        <w:t> SEATTLE, WA</w:t>
      </w:r>
      <w:r>
        <w:rPr>
          <w:spacing w:val="40"/>
          <w:w w:val="105"/>
        </w:rPr>
        <w:t> </w:t>
      </w:r>
      <w:r>
        <w:rPr>
          <w:w w:val="105"/>
        </w:rPr>
        <w:t>JULY 2019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40" w:bottom="280" w:left="425" w:right="850"/>
          <w:cols w:num="2" w:equalWidth="0">
            <w:col w:w="3145" w:space="612"/>
            <w:col w:w="6888"/>
          </w:cols>
        </w:sectPr>
      </w:pPr>
    </w:p>
    <w:p>
      <w:pPr>
        <w:pStyle w:val="BodyText"/>
        <w:spacing w:before="114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r>
        <w:rPr>
          <w:color w:val="424242"/>
          <w:spacing w:val="-2"/>
          <w:w w:val="90"/>
        </w:rPr>
        <w:t>City,</w:t>
      </w:r>
      <w:r>
        <w:rPr>
          <w:color w:val="424242"/>
          <w:spacing w:val="-4"/>
          <w:w w:val="90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Heading1"/>
      </w:pPr>
      <w:r>
        <w:rPr>
          <w:color w:val="6A0000"/>
          <w:w w:val="135"/>
        </w:rPr>
        <w:t>KEY</w:t>
      </w:r>
      <w:r>
        <w:rPr>
          <w:color w:val="6A0000"/>
          <w:spacing w:val="13"/>
          <w:w w:val="135"/>
        </w:rPr>
        <w:t> </w:t>
      </w:r>
      <w:r>
        <w:rPr>
          <w:color w:val="6A0000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8" w:lineRule="auto" w:before="209" w:after="0"/>
        <w:ind w:left="300" w:right="3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Reduced employee turnover by 20% by implementing leadership training</w:t>
      </w:r>
      <w:r>
        <w:rPr>
          <w:spacing w:val="80"/>
          <w:sz w:val="18"/>
        </w:rPr>
        <w:t> </w:t>
      </w:r>
      <w:r>
        <w:rPr>
          <w:sz w:val="18"/>
        </w:rPr>
        <w:t>and career development programs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8" w:lineRule="auto" w:before="41" w:after="0"/>
        <w:ind w:left="300" w:right="356" w:hanging="298"/>
        <w:jc w:val="left"/>
        <w:rPr>
          <w:sz w:val="18"/>
        </w:rPr>
      </w:pPr>
      <w:r>
        <w:rPr>
          <w:sz w:val="18"/>
        </w:rPr>
        <w:t>Partnered with executives to develop workforce planning strategies,</w:t>
      </w:r>
      <w:r>
        <w:rPr>
          <w:spacing w:val="40"/>
          <w:sz w:val="18"/>
        </w:rPr>
        <w:t> </w:t>
      </w:r>
      <w:r>
        <w:rPr>
          <w:sz w:val="18"/>
        </w:rPr>
        <w:t>improving hiring efficiency by 15%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4" w:lineRule="auto" w:before="71" w:after="0"/>
        <w:ind w:left="300" w:right="1" w:hanging="298"/>
        <w:jc w:val="left"/>
        <w:rPr>
          <w:sz w:val="18"/>
        </w:rPr>
      </w:pPr>
      <w:r>
        <w:rPr>
          <w:w w:val="105"/>
          <w:sz w:val="18"/>
        </w:rPr>
        <w:t>Led engagement initiatives that increased employee satisfaction scores by 30%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850"/>
          <w:cols w:num="2" w:equalWidth="0">
            <w:col w:w="2540" w:space="1663"/>
            <w:col w:w="6442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43" w:lineRule="exact" w:before="130" w:after="0"/>
        <w:ind w:left="41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210424"/>
                            <a:ext cx="2476500" cy="349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495675">
                                <a:moveTo>
                                  <a:pt x="0" y="3495674"/>
                                </a:moveTo>
                                <a:lnTo>
                                  <a:pt x="2476499" y="34956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95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210424"/>
                            <a:ext cx="9525" cy="349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495675">
                                <a:moveTo>
                                  <a:pt x="0" y="3495674"/>
                                </a:moveTo>
                                <a:lnTo>
                                  <a:pt x="9524" y="34956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95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62175">
                                <a:moveTo>
                                  <a:pt x="7568183" y="2162174"/>
                                </a:moveTo>
                                <a:lnTo>
                                  <a:pt x="0" y="2162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6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62174"/>
                            <a:ext cx="9525" cy="504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48250">
                                <a:moveTo>
                                  <a:pt x="9524" y="5048249"/>
                                </a:moveTo>
                                <a:lnTo>
                                  <a:pt x="0" y="5048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4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62174"/>
                            <a:ext cx="2466975" cy="504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048250">
                                <a:moveTo>
                                  <a:pt x="2466974" y="5048249"/>
                                </a:moveTo>
                                <a:lnTo>
                                  <a:pt x="0" y="50482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04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0986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0986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9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781299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176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176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5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4802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52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52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6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242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rect style="position:absolute;left:0;top:11355;width:3900;height:5505" id="docshape2" filled="true" fillcolor="#6a0000" stroked="false">
                  <v:fill opacity="32899f" type="solid"/>
                </v:rect>
                <v:rect style="position:absolute;left:3885;top:11355;width:15;height:5505" id="docshape3" filled="true" fillcolor="#000000" stroked="false">
                  <v:fill type="solid"/>
                </v:rect>
                <v:rect style="position:absolute;left:0;top:0;width:11919;height:3405" id="docshape4" filled="true" fillcolor="#6a0000" stroked="false">
                  <v:fill type="solid"/>
                </v:rect>
                <v:rect style="position:absolute;left:3885;top:3405;width:15;height:7950" id="docshape5" filled="true" fillcolor="#000000" stroked="false">
                  <v:fill type="solid"/>
                </v:rect>
                <v:rect style="position:absolute;left:0;top:3405;width:3885;height:7950" id="docshape6" filled="true" fillcolor="#6a0000" stroked="false">
                  <v:fill opacity="32899f" type="solid"/>
                </v:rect>
                <v:shape style="position:absolute;left:562;top:4267;width:495;height:480" id="docshape7" coordorigin="562,4267" coordsize="495,480" path="m817,4747l802,4747,791,4747,722,4733,660,4700,610,4650,577,4588,563,4519,562,4507,563,4496,577,4427,610,4365,660,4315,722,4282,791,4268,802,4267,817,4267,887,4278,951,4308,1003,4355,1039,4416,1056,4484,1057,4507,1057,4519,1043,4588,1010,4650,960,4700,898,4733,829,4747,817,4747xe" filled="true" fillcolor="#6a0000" stroked="false">
                  <v:path arrowok="t"/>
                  <v:fill type="solid"/>
                </v:shape>
                <v:shape style="position:absolute;left:562;top:4267;width:495;height:480" id="docshape8" coordorigin="562,4267" coordsize="495,480" path="m562,4507l573,4438,603,4374,650,4322,711,4286,779,4269,802,4267,817,4267,887,4278,951,4308,1003,4355,1039,4416,1056,4484,1057,4507,1057,4519,1043,4588,1010,4650,960,4700,898,4733,829,4747,817,4747,802,4747,733,4737,669,4707,617,4660,581,4599,564,4531,562,4507xe" filled="false" stroked="true" strokeweight="2.25pt" strokecolor="#6a0000">
                  <v:path arrowok="t"/>
                  <v:stroke dashstyle="solid"/>
                </v:shape>
                <v:shape style="position:absolute;left:675;top:4380;width:261;height:255" type="#_x0000_t75" id="docshape9" stroked="false">
                  <v:imagedata r:id="rId6" o:title=""/>
                </v:shape>
                <v:shape style="position:absolute;left:562;top:5002;width:495;height:495" id="docshape10" coordorigin="562,5002" coordsize="495,495" path="m810,5497l750,5490,693,5468,644,5433,604,5388,577,5334,564,5275,562,5250,563,5238,573,5178,598,5123,635,5075,683,5038,738,5013,798,5003,810,5002,822,5003,882,5013,937,5038,985,5075,1022,5123,1047,5178,1057,5238,1057,5250,1057,5262,1047,5322,1022,5377,985,5425,937,5462,882,5487,822,5497,810,5497xe" filled="true" fillcolor="#6a0000" stroked="false">
                  <v:path arrowok="t"/>
                  <v:fill type="solid"/>
                </v:shape>
                <v:shape style="position:absolute;left:562;top:5002;width:495;height:495" id="docshape11" coordorigin="562,5002" coordsize="495,495" path="m562,5250l562,5250,563,5238,573,5178,598,5123,635,5075,683,5038,738,5013,798,5003,810,5002,810,5002,870,5010,927,5032,976,5067,1016,5112,1043,5166,1056,5225,1057,5250,1057,5250,1050,5310,1028,5367,993,5416,948,5456,894,5483,835,5496,810,5497,810,5497,750,5490,693,5468,644,5433,604,5388,577,5334,564,5275,562,5250xe" filled="false" stroked="true" strokeweight="2.25pt" strokecolor="#6a0000">
                  <v:path arrowok="t"/>
                  <v:stroke dashstyle="solid"/>
                </v:shape>
                <v:shape style="position:absolute;left:692;top:5115;width:226;height:261" type="#_x0000_t75" id="docshape12" stroked="false">
                  <v:imagedata r:id="rId7" o:title=""/>
                </v:shape>
                <v:shape style="position:absolute;left:562;top:5752;width:495;height:495" id="docshape13" coordorigin="562,5752" coordsize="495,495" path="m810,6247l750,6240,693,6218,644,6183,604,6138,577,6084,564,6025,562,6000,563,5988,573,5928,598,5873,635,5825,683,5788,738,5763,798,5753,810,5752,822,5753,882,5763,937,5788,985,5825,1022,5873,1047,5928,1057,5988,1057,6000,1057,6012,1047,6072,1022,6127,985,6175,937,6212,882,6237,822,6247,810,6247xe" filled="true" fillcolor="#6a0000" stroked="false">
                  <v:path arrowok="t"/>
                  <v:fill type="solid"/>
                </v:shape>
                <v:shape style="position:absolute;left:562;top:5752;width:495;height:495" id="docshape14" coordorigin="562,5752" coordsize="495,495" path="m562,6000l562,6000,563,5988,573,5928,598,5873,635,5825,683,5788,738,5763,798,5753,810,5752,810,5752,870,5760,927,5782,976,5817,1016,5862,1043,5916,1056,5975,1057,6000,1057,6000,1050,6060,1028,6117,993,6166,948,6206,894,6233,835,6246,810,6247,810,6247,750,6240,693,6218,644,6183,604,6138,577,6084,564,6025,562,6000xe" filled="false" stroked="true" strokeweight="2.25pt" strokecolor="#6a0000">
                  <v:path arrowok="t"/>
                  <v:stroke dashstyle="solid"/>
                </v:shape>
                <v:shape style="position:absolute;left:675;top:586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Strategic</w:t>
      </w:r>
      <w:r>
        <w:rPr>
          <w:spacing w:val="35"/>
          <w:sz w:val="18"/>
        </w:rPr>
        <w:t> </w:t>
      </w:r>
      <w:r>
        <w:rPr>
          <w:sz w:val="18"/>
        </w:rPr>
        <w:t>workforce</w:t>
      </w:r>
      <w:r>
        <w:rPr>
          <w:spacing w:val="36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spacing w:val="2"/>
          <w:sz w:val="18"/>
        </w:rPr>
        <w:t>Leadership</w:t>
      </w:r>
      <w:r>
        <w:rPr>
          <w:spacing w:val="40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4" w:lineRule="auto" w:before="26" w:after="0"/>
        <w:ind w:left="411" w:right="721" w:hanging="298"/>
        <w:jc w:val="left"/>
        <w:rPr>
          <w:sz w:val="18"/>
        </w:rPr>
      </w:pPr>
      <w:r>
        <w:rPr>
          <w:sz w:val="18"/>
        </w:rPr>
        <w:t>Employee engagement </w:t>
      </w:r>
      <w:r>
        <w:rPr>
          <w:spacing w:val="-2"/>
          <w:sz w:val="18"/>
        </w:rPr>
        <w:t>initiatives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18" w:lineRule="auto" w:before="59" w:after="0"/>
        <w:ind w:left="411" w:right="752" w:hanging="298"/>
        <w:jc w:val="left"/>
        <w:rPr>
          <w:sz w:val="18"/>
        </w:rPr>
      </w:pPr>
      <w:r>
        <w:rPr>
          <w:w w:val="105"/>
          <w:sz w:val="18"/>
        </w:rPr>
        <w:t>Organizational change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240" w:lineRule="auto" w:before="17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HR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analytics</w:t>
      </w:r>
    </w:p>
    <w:p>
      <w:pPr>
        <w:pStyle w:val="BodyText"/>
        <w:spacing w:before="11"/>
      </w:pPr>
    </w:p>
    <w:p>
      <w:pPr>
        <w:pStyle w:val="Heading1"/>
      </w:pPr>
      <w:r>
        <w:rPr>
          <w:color w:val="6A0000"/>
          <w:spacing w:val="-2"/>
          <w:w w:val="130"/>
        </w:rPr>
        <w:t>EDUCATION</w:t>
      </w:r>
    </w:p>
    <w:p>
      <w:pPr>
        <w:pStyle w:val="BodyText"/>
        <w:spacing w:line="276" w:lineRule="auto" w:before="222"/>
        <w:ind w:left="114" w:right="90"/>
      </w:pPr>
      <w:r>
        <w:rPr/>
        <w:t>Master of Business Administration</w:t>
      </w:r>
      <w:r>
        <w:rPr>
          <w:spacing w:val="40"/>
        </w:rPr>
        <w:t> </w:t>
      </w:r>
      <w:r>
        <w:rPr/>
        <w:t>(MBA),</w:t>
      </w:r>
      <w:r>
        <w:rPr>
          <w:spacing w:val="38"/>
        </w:rPr>
        <w:t> </w:t>
      </w:r>
      <w:r>
        <w:rPr/>
        <w:t>Human</w:t>
      </w:r>
      <w:r>
        <w:rPr>
          <w:spacing w:val="38"/>
        </w:rPr>
        <w:t> </w:t>
      </w:r>
      <w:r>
        <w:rPr/>
        <w:t>Resources</w:t>
      </w:r>
      <w:r>
        <w:rPr>
          <w:spacing w:val="80"/>
        </w:rPr>
        <w:t> </w:t>
      </w:r>
      <w:r>
        <w:rPr/>
        <w:t>University of Washington </w:t>
      </w:r>
      <w:r>
        <w:rPr>
          <w:w w:val="90"/>
        </w:rPr>
        <w:t>| </w:t>
      </w:r>
      <w:r>
        <w:rPr/>
        <w:t>2015</w:t>
      </w:r>
    </w:p>
    <w:p>
      <w:pPr>
        <w:pStyle w:val="BodyText"/>
        <w:spacing w:before="86"/>
      </w:pPr>
      <w:r>
        <w:rPr/>
        <w:br w:type="column"/>
      </w:r>
      <w:r>
        <w:rPr/>
      </w:r>
    </w:p>
    <w:p>
      <w:pPr>
        <w:pStyle w:val="BodyText"/>
        <w:spacing w:line="266" w:lineRule="auto" w:before="1"/>
        <w:ind w:left="225" w:right="1367"/>
      </w:pPr>
      <w:r>
        <w:rPr>
          <w:w w:val="105"/>
        </w:rPr>
        <w:t>SENIOR HR GENERALIST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ABC ENTERPRISES </w:t>
      </w:r>
      <w:r>
        <w:rPr>
          <w:w w:val="85"/>
        </w:rPr>
        <w:t>|</w:t>
      </w:r>
      <w:r>
        <w:rPr>
          <w:w w:val="105"/>
        </w:rPr>
        <w:t> SEATTLE, WA</w:t>
      </w:r>
      <w:r>
        <w:rPr>
          <w:spacing w:val="40"/>
          <w:w w:val="105"/>
        </w:rPr>
        <w:t> </w:t>
      </w:r>
      <w:r>
        <w:rPr>
          <w:w w:val="105"/>
        </w:rPr>
        <w:t>MAY 2015 </w:t>
      </w:r>
      <w:r>
        <w:rPr>
          <w:w w:val="155"/>
        </w:rPr>
        <w:t>– </w:t>
      </w:r>
      <w:r>
        <w:rPr>
          <w:w w:val="105"/>
        </w:rPr>
        <w:t>JULY 2019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218" w:lineRule="auto" w:before="0" w:after="0"/>
        <w:ind w:left="746" w:right="411" w:hanging="298"/>
        <w:jc w:val="left"/>
        <w:rPr>
          <w:sz w:val="18"/>
        </w:rPr>
      </w:pPr>
      <w:r>
        <w:rPr>
          <w:sz w:val="18"/>
        </w:rPr>
        <w:t>Managed</w:t>
      </w:r>
      <w:r>
        <w:rPr>
          <w:spacing w:val="40"/>
          <w:sz w:val="18"/>
        </w:rPr>
        <w:t> </w:t>
      </w:r>
      <w:r>
        <w:rPr>
          <w:sz w:val="18"/>
        </w:rPr>
        <w:t>performance</w:t>
      </w:r>
      <w:r>
        <w:rPr>
          <w:spacing w:val="40"/>
          <w:sz w:val="18"/>
        </w:rPr>
        <w:t> </w:t>
      </w:r>
      <w:r>
        <w:rPr>
          <w:sz w:val="18"/>
        </w:rPr>
        <w:t>evaluation</w:t>
      </w:r>
      <w:r>
        <w:rPr>
          <w:spacing w:val="40"/>
          <w:sz w:val="18"/>
        </w:rPr>
        <w:t> </w:t>
      </w:r>
      <w:r>
        <w:rPr>
          <w:sz w:val="18"/>
        </w:rPr>
        <w:t>processes,</w:t>
      </w:r>
      <w:r>
        <w:rPr>
          <w:spacing w:val="40"/>
          <w:sz w:val="18"/>
        </w:rPr>
        <w:t> </w:t>
      </w:r>
      <w:r>
        <w:rPr>
          <w:sz w:val="18"/>
        </w:rPr>
        <w:t>increasing</w:t>
      </w:r>
      <w:r>
        <w:rPr>
          <w:spacing w:val="40"/>
          <w:sz w:val="18"/>
        </w:rPr>
        <w:t> </w:t>
      </w:r>
      <w:r>
        <w:rPr>
          <w:sz w:val="18"/>
        </w:rPr>
        <w:t>leadership feedback adoption by 40%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204" w:lineRule="auto" w:before="71" w:after="0"/>
        <w:ind w:left="746" w:right="98" w:hanging="298"/>
        <w:jc w:val="left"/>
        <w:rPr>
          <w:sz w:val="18"/>
        </w:rPr>
      </w:pPr>
      <w:r>
        <w:rPr>
          <w:sz w:val="18"/>
        </w:rPr>
        <w:t>Designed internal career development programs, resulting in 25% more</w:t>
      </w:r>
      <w:r>
        <w:rPr>
          <w:spacing w:val="80"/>
          <w:sz w:val="18"/>
        </w:rPr>
        <w:t> </w:t>
      </w:r>
      <w:r>
        <w:rPr>
          <w:sz w:val="18"/>
        </w:rPr>
        <w:t>internal promotions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204" w:lineRule="auto" w:before="74" w:after="0"/>
        <w:ind w:left="746" w:right="44" w:hanging="298"/>
        <w:jc w:val="left"/>
        <w:rPr>
          <w:sz w:val="18"/>
        </w:rPr>
      </w:pPr>
      <w:r>
        <w:rPr>
          <w:sz w:val="18"/>
        </w:rPr>
        <w:t>Conducted</w:t>
      </w:r>
      <w:r>
        <w:rPr>
          <w:spacing w:val="32"/>
          <w:sz w:val="18"/>
        </w:rPr>
        <w:t> </w:t>
      </w:r>
      <w:r>
        <w:rPr>
          <w:sz w:val="18"/>
        </w:rPr>
        <w:t>diversity</w:t>
      </w:r>
      <w:r>
        <w:rPr>
          <w:spacing w:val="32"/>
          <w:sz w:val="18"/>
        </w:rPr>
        <w:t> </w:t>
      </w:r>
      <w:r>
        <w:rPr>
          <w:sz w:val="18"/>
        </w:rPr>
        <w:t>and</w:t>
      </w:r>
      <w:r>
        <w:rPr>
          <w:spacing w:val="32"/>
          <w:sz w:val="18"/>
        </w:rPr>
        <w:t> </w:t>
      </w:r>
      <w:r>
        <w:rPr>
          <w:sz w:val="18"/>
        </w:rPr>
        <w:t>inclusion</w:t>
      </w:r>
      <w:r>
        <w:rPr>
          <w:spacing w:val="32"/>
          <w:sz w:val="18"/>
        </w:rPr>
        <w:t> </w:t>
      </w:r>
      <w:r>
        <w:rPr>
          <w:sz w:val="18"/>
        </w:rPr>
        <w:t>initiatives</w:t>
      </w:r>
      <w:r>
        <w:rPr>
          <w:spacing w:val="32"/>
          <w:sz w:val="18"/>
        </w:rPr>
        <w:t> </w:t>
      </w:r>
      <w:r>
        <w:rPr>
          <w:sz w:val="18"/>
        </w:rPr>
        <w:t>that</w:t>
      </w:r>
      <w:r>
        <w:rPr>
          <w:spacing w:val="32"/>
          <w:sz w:val="18"/>
        </w:rPr>
        <w:t> </w:t>
      </w:r>
      <w:r>
        <w:rPr>
          <w:sz w:val="18"/>
        </w:rPr>
        <w:t>boosted</w:t>
      </w:r>
      <w:r>
        <w:rPr>
          <w:spacing w:val="32"/>
          <w:sz w:val="18"/>
        </w:rPr>
        <w:t> </w:t>
      </w:r>
      <w:r>
        <w:rPr>
          <w:sz w:val="18"/>
        </w:rPr>
        <w:t>diverse</w:t>
      </w:r>
      <w:r>
        <w:rPr>
          <w:spacing w:val="32"/>
          <w:sz w:val="18"/>
        </w:rPr>
        <w:t> </w:t>
      </w:r>
      <w:r>
        <w:rPr>
          <w:sz w:val="18"/>
        </w:rPr>
        <w:t>hiring </w:t>
      </w:r>
      <w:r>
        <w:rPr>
          <w:w w:val="105"/>
          <w:sz w:val="18"/>
        </w:rPr>
        <w:t>by 18%</w:t>
      </w:r>
    </w:p>
    <w:p>
      <w:pPr>
        <w:pStyle w:val="BodyText"/>
        <w:spacing w:before="148"/>
      </w:pPr>
    </w:p>
    <w:p>
      <w:pPr>
        <w:spacing w:before="0"/>
        <w:ind w:left="2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6A0000"/>
          <w:spacing w:val="-2"/>
          <w:w w:val="135"/>
          <w:sz w:val="22"/>
        </w:rPr>
        <w:t>REFERENCES</w:t>
      </w:r>
    </w:p>
    <w:sectPr>
      <w:type w:val="continuous"/>
      <w:pgSz w:w="11920" w:h="16860"/>
      <w:pgMar w:top="540" w:bottom="280" w:left="425" w:right="850"/>
      <w:cols w:num="2" w:equalWidth="0">
        <w:col w:w="3089" w:space="669"/>
        <w:col w:w="68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5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00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2026-02-28T03:21:50Z</dcterms:created>
  <dcterms:modified xsi:type="dcterms:W3CDTF">2026-02-28T03:21:50Z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