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8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w w:val="110"/>
          <w:sz w:val="74"/>
        </w:rPr>
        <w:t>Nate</w:t>
      </w:r>
      <w:r>
        <w:rPr>
          <w:rFonts w:ascii="Arial"/>
          <w:b/>
          <w:color w:val="FFFFFF"/>
          <w:spacing w:val="-24"/>
          <w:w w:val="110"/>
          <w:sz w:val="74"/>
        </w:rPr>
        <w:t> </w:t>
      </w:r>
      <w:r>
        <w:rPr>
          <w:rFonts w:ascii="Microsoft Sans Serif"/>
          <w:color w:val="FFFFFF"/>
          <w:spacing w:val="7"/>
          <w:w w:val="110"/>
          <w:sz w:val="74"/>
        </w:rPr>
        <w:t>Smith</w:t>
      </w:r>
    </w:p>
    <w:p>
      <w:pPr>
        <w:pStyle w:val="Heading1"/>
        <w:spacing w:before="147"/>
        <w:ind w:left="448"/>
      </w:pPr>
      <w:r>
        <w:rPr>
          <w:color w:val="FFFFFF"/>
          <w:w w:val="110"/>
        </w:rPr>
        <w:t>Staff</w:t>
      </w:r>
      <w:r>
        <w:rPr>
          <w:color w:val="FFFFFF"/>
          <w:spacing w:val="1"/>
          <w:w w:val="110"/>
        </w:rPr>
        <w:t> </w:t>
      </w:r>
      <w:r>
        <w:rPr>
          <w:color w:val="FFFFFF"/>
          <w:spacing w:val="-2"/>
          <w:w w:val="110"/>
        </w:rPr>
        <w:t>Accountant</w:t>
      </w:r>
    </w:p>
    <w:p>
      <w:pPr>
        <w:spacing w:before="163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Staff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accountant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reporting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compliance</w:t>
      </w:r>
    </w:p>
    <w:p>
      <w:pPr>
        <w:spacing w:line="271" w:lineRule="auto" w:before="24"/>
        <w:ind w:left="448" w:right="131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Staff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general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ledger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accounting,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reporting,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tax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 mid-sized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corporations.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reconciling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accounts,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analyzing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data,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auditors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 reporting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accuracy.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forecasts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identify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cost-saving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before="102"/>
      </w:pPr>
      <w:r>
        <w:rPr>
          <w:color w:val="533377"/>
        </w:rPr>
        <w:t>PERSONAL</w:t>
      </w:r>
      <w:r>
        <w:rPr>
          <w:color w:val="533377"/>
          <w:spacing w:val="-10"/>
        </w:rPr>
        <w:t> </w:t>
      </w:r>
      <w:r>
        <w:rPr>
          <w:color w:val="533377"/>
          <w:spacing w:val="-2"/>
        </w:rPr>
        <w:t>INFORMATION</w:t>
      </w:r>
    </w:p>
    <w:p>
      <w:pPr>
        <w:pStyle w:val="BodyText"/>
        <w:spacing w:before="146"/>
        <w:rPr>
          <w:rFonts w:ascii="Arial"/>
          <w:b/>
          <w:sz w:val="22"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533377"/>
        </w:rPr>
        <w:t>PROFESSIONAL</w:t>
      </w:r>
      <w:r>
        <w:rPr>
          <w:color w:val="533377"/>
          <w:spacing w:val="-8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before="84"/>
        <w:rPr>
          <w:rFonts w:ascii="Arial"/>
          <w:b/>
          <w:sz w:val="22"/>
        </w:rPr>
      </w:pPr>
    </w:p>
    <w:p>
      <w:pPr>
        <w:pStyle w:val="BodyText"/>
        <w:spacing w:line="266" w:lineRule="auto"/>
        <w:ind w:left="225" w:right="1098"/>
      </w:pPr>
      <w:r>
        <w:rPr>
          <w:w w:val="110"/>
        </w:rPr>
        <w:t>STAFF ACCOUNTANT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ABC CORPORATION, NEW YORK, NY JUNE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850"/>
          <w:cols w:num="2" w:equalWidth="0">
            <w:col w:w="2916" w:space="841"/>
            <w:col w:w="6888"/>
          </w:cols>
        </w:sectPr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</w:rPr>
          <w:t>nate.smith@email.com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</w:rPr>
        <w:t>New</w:t>
      </w:r>
      <w:r>
        <w:rPr>
          <w:color w:val="424242"/>
          <w:spacing w:val="-3"/>
        </w:rPr>
        <w:t> </w:t>
      </w:r>
      <w:r>
        <w:rPr>
          <w:color w:val="424242"/>
        </w:rPr>
        <w:t>York,</w:t>
      </w:r>
      <w:r>
        <w:rPr>
          <w:color w:val="424242"/>
          <w:spacing w:val="15"/>
        </w:rPr>
        <w:t> </w:t>
      </w:r>
      <w:r>
        <w:rPr>
          <w:color w:val="424242"/>
          <w:spacing w:val="-5"/>
        </w:rPr>
        <w:t>NY</w:t>
      </w:r>
    </w:p>
    <w:p>
      <w:pPr>
        <w:pStyle w:val="BodyText"/>
      </w:pPr>
    </w:p>
    <w:p>
      <w:pPr>
        <w:pStyle w:val="BodyText"/>
        <w:spacing w:before="10"/>
      </w:pPr>
    </w:p>
    <w:p>
      <w:pPr>
        <w:pStyle w:val="Heading1"/>
      </w:pPr>
      <w:r>
        <w:rPr>
          <w:color w:val="533377"/>
          <w:spacing w:val="-2"/>
        </w:rPr>
        <w:t>EDUCATION</w:t>
      </w:r>
    </w:p>
    <w:p>
      <w:pPr>
        <w:pStyle w:val="BodyText"/>
        <w:spacing w:line="276" w:lineRule="auto" w:before="234"/>
        <w:ind w:left="114"/>
      </w:pPr>
      <w:r>
        <w:rPr/>
        <w:t>Bachelor of Science (B.S.) </w:t>
      </w:r>
      <w:r>
        <w:rPr>
          <w:spacing w:val="-2"/>
        </w:rPr>
        <w:t>Accounting</w:t>
      </w:r>
    </w:p>
    <w:p>
      <w:pPr>
        <w:pStyle w:val="BodyText"/>
        <w:spacing w:line="193" w:lineRule="exact"/>
        <w:ind w:left="114"/>
      </w:pPr>
      <w:r>
        <w:rPr>
          <w:w w:val="105"/>
        </w:rPr>
        <w:t>New</w:t>
      </w:r>
      <w:r>
        <w:rPr>
          <w:spacing w:val="2"/>
          <w:w w:val="105"/>
        </w:rPr>
        <w:t> </w:t>
      </w:r>
      <w:r>
        <w:rPr>
          <w:w w:val="105"/>
        </w:rPr>
        <w:t>York</w:t>
      </w:r>
      <w:r>
        <w:rPr>
          <w:spacing w:val="20"/>
          <w:w w:val="105"/>
        </w:rPr>
        <w:t> </w:t>
      </w:r>
      <w:r>
        <w:rPr>
          <w:w w:val="105"/>
        </w:rPr>
        <w:t>University,</w:t>
      </w:r>
      <w:r>
        <w:rPr>
          <w:spacing w:val="20"/>
          <w:w w:val="105"/>
        </w:rPr>
        <w:t> </w:t>
      </w:r>
      <w:r>
        <w:rPr>
          <w:w w:val="105"/>
        </w:rPr>
        <w:t>New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York,</w:t>
      </w:r>
    </w:p>
    <w:p>
      <w:pPr>
        <w:pStyle w:val="BodyText"/>
        <w:spacing w:before="31"/>
        <w:ind w:left="114"/>
      </w:pPr>
      <w:r>
        <w:rPr/>
        <w:t>NY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>
          <w:spacing w:val="-4"/>
        </w:rPr>
        <w:t>2018</w:t>
      </w:r>
    </w:p>
    <w:p>
      <w:pPr>
        <w:pStyle w:val="BodyText"/>
        <w:spacing w:before="69"/>
      </w:pPr>
    </w:p>
    <w:p>
      <w:pPr>
        <w:pStyle w:val="Heading1"/>
      </w:pPr>
      <w:r>
        <w:rPr>
          <w:color w:val="533377"/>
        </w:rPr>
        <w:t>KEY</w:t>
      </w:r>
      <w:r>
        <w:rPr>
          <w:color w:val="533377"/>
          <w:spacing w:val="-8"/>
        </w:rPr>
        <w:t> </w:t>
      </w:r>
      <w:r>
        <w:rPr>
          <w:color w:val="533377"/>
          <w:spacing w:val="-2"/>
        </w:rPr>
        <w:t>SKILLS</w:t>
      </w:r>
    </w:p>
    <w:p>
      <w:pPr>
        <w:pStyle w:val="BodyText"/>
        <w:spacing w:before="3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0" w:after="0"/>
        <w:ind w:left="523" w:right="725" w:hanging="298"/>
        <w:jc w:val="left"/>
        <w:rPr>
          <w:sz w:val="18"/>
        </w:rPr>
      </w:pPr>
      <w:r>
        <w:rPr>
          <w:w w:val="105"/>
          <w:sz w:val="18"/>
        </w:rPr>
        <w:t>Prepare monthly and quarterly financial statements, ensuring accuracy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GAAP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40" w:after="0"/>
        <w:ind w:left="523" w:right="19" w:hanging="298"/>
        <w:jc w:val="left"/>
        <w:rPr>
          <w:sz w:val="18"/>
        </w:rPr>
      </w:pPr>
      <w:r>
        <w:rPr>
          <w:w w:val="105"/>
          <w:sz w:val="18"/>
        </w:rPr>
        <w:t>Reconcile bank accounts, credit card transactions, and intercompany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discrepancies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by 30%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71" w:after="0"/>
        <w:ind w:left="523" w:right="146" w:hanging="298"/>
        <w:jc w:val="left"/>
        <w:rPr>
          <w:sz w:val="18"/>
        </w:rPr>
      </w:pPr>
      <w:r>
        <w:rPr>
          <w:w w:val="105"/>
          <w:sz w:val="18"/>
        </w:rPr>
        <w:t>Coordinate with external auditors during annual audits, streamlining the process and reducing reporting errors by 15%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35" w:lineRule="auto" w:before="41" w:after="0"/>
        <w:ind w:left="523" w:right="602" w:hanging="298"/>
        <w:jc w:val="left"/>
        <w:rPr>
          <w:sz w:val="18"/>
        </w:rPr>
      </w:pPr>
      <w:r>
        <w:rPr>
          <w:w w:val="105"/>
          <w:sz w:val="18"/>
        </w:rPr>
        <w:t>Support the finance team in analyzing budget variances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identifying opportunities to reduce overhead costs by $50,000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spacing w:line="266" w:lineRule="auto" w:before="1"/>
        <w:ind w:left="2" w:right="319"/>
      </w:pPr>
      <w:r>
        <w:rPr>
          <w:w w:val="115"/>
        </w:rPr>
        <w:t>ACCOUNTING ASSISTANT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XYZ FINANCIAL SERVICES, NEW</w:t>
      </w:r>
      <w:r>
        <w:rPr>
          <w:spacing w:val="-8"/>
          <w:w w:val="115"/>
        </w:rPr>
        <w:t> </w:t>
      </w:r>
      <w:r>
        <w:rPr>
          <w:w w:val="115"/>
        </w:rPr>
        <w:t>YORK, NY MAY 2020 </w:t>
      </w:r>
      <w:r>
        <w:rPr>
          <w:w w:val="130"/>
        </w:rPr>
        <w:t>– </w:t>
      </w:r>
      <w:r>
        <w:rPr>
          <w:w w:val="115"/>
        </w:rPr>
        <w:t>JUNE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850"/>
          <w:cols w:num="2" w:equalWidth="0">
            <w:col w:w="2865" w:space="1115"/>
            <w:col w:w="6665"/>
          </w:cols>
        </w:sectPr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166" w:after="0"/>
        <w:ind w:left="411" w:right="917" w:hanging="298"/>
        <w:jc w:val="left"/>
        <w:rPr>
          <w:sz w:val="18"/>
        </w:rPr>
      </w:pPr>
      <w:r>
        <w:rPr>
          <w:w w:val="110"/>
          <w:sz w:val="18"/>
        </w:rPr>
        <w:t>AP</w:t>
      </w:r>
      <w:r>
        <w:rPr>
          <w:spacing w:val="-1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receivable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40" w:after="0"/>
        <w:ind w:left="411" w:right="684" w:hanging="298"/>
        <w:jc w:val="left"/>
        <w:rPr>
          <w:sz w:val="18"/>
        </w:rPr>
      </w:pPr>
      <w:r>
        <w:rPr>
          <w:w w:val="105"/>
          <w:sz w:val="18"/>
        </w:rPr>
        <w:t>Bank and credit card </w:t>
      </w:r>
      <w:r>
        <w:rPr>
          <w:spacing w:val="-2"/>
          <w:w w:val="105"/>
          <w:sz w:val="18"/>
        </w:rPr>
        <w:t>reconciliations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4" w:lineRule="auto" w:before="71" w:after="0"/>
        <w:ind w:left="411" w:right="481" w:hanging="298"/>
        <w:jc w:val="left"/>
        <w:rPr>
          <w:sz w:val="18"/>
        </w:rPr>
      </w:pPr>
      <w:r>
        <w:rPr>
          <w:w w:val="105"/>
          <w:sz w:val="18"/>
        </w:rPr>
        <w:t>Financial reporting and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35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General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ledger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accounting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4" w:lineRule="auto" w:before="9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GAAP compliance and audit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106" w:after="0"/>
        <w:ind w:left="411" w:right="29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Processed vendor invoices, employee reimbursements, and client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payments, improving AP efficiency by 25%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40" w:after="0"/>
        <w:ind w:left="411" w:right="158" w:hanging="298"/>
        <w:jc w:val="left"/>
        <w:rPr>
          <w:sz w:val="18"/>
        </w:rPr>
      </w:pPr>
      <w:r>
        <w:rPr>
          <w:w w:val="105"/>
          <w:sz w:val="18"/>
        </w:rPr>
        <w:t>Assisted in preparing financial statements and reconciling accounts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month-end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close,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closing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three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days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4" w:lineRule="auto" w:before="71" w:after="0"/>
        <w:ind w:left="411" w:right="117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employees,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 in tax withholdings and benefit deductions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59" w:after="0"/>
        <w:ind w:left="411" w:right="402" w:hanging="298"/>
        <w:jc w:val="left"/>
        <w:rPr>
          <w:sz w:val="18"/>
        </w:rPr>
      </w:pPr>
      <w:r>
        <w:rPr>
          <w:w w:val="105"/>
          <w:sz w:val="18"/>
        </w:rPr>
        <w:t>Worked with senior accountants to develop reports for executive leadership, contributing to data-driven decision-making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942" w:space="1149"/>
            <w:col w:w="6554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5" w:lineRule="exact" w:before="53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Tax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filing</w:t>
      </w:r>
    </w:p>
    <w:p>
      <w:pPr>
        <w:pStyle w:val="Heading1"/>
        <w:spacing w:before="2"/>
        <w:ind w:left="114"/>
      </w:pPr>
      <w:r>
        <w:rPr>
          <w:b w:val="0"/>
        </w:rPr>
        <w:br w:type="column"/>
      </w:r>
      <w:r>
        <w:rPr>
          <w:color w:val="533377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850"/>
          <w:cols w:num="2" w:equalWidth="0">
            <w:col w:w="2707" w:space="938"/>
            <w:col w:w="7000"/>
          </w:cols>
        </w:sectPr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4" w:lineRule="auto" w:before="34" w:after="0"/>
        <w:ind w:left="411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210549"/>
                            <a:ext cx="247650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95550">
                                <a:moveTo>
                                  <a:pt x="0" y="2495549"/>
                                </a:moveTo>
                                <a:lnTo>
                                  <a:pt x="2476499" y="24955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210549"/>
                            <a:ext cx="952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495550">
                                <a:moveTo>
                                  <a:pt x="0" y="2495549"/>
                                </a:moveTo>
                                <a:lnTo>
                                  <a:pt x="9524" y="24955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95524"/>
                            <a:ext cx="9525" cy="591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15025">
                                <a:moveTo>
                                  <a:pt x="9524" y="5915024"/>
                                </a:moveTo>
                                <a:lnTo>
                                  <a:pt x="0" y="5915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1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95524"/>
                            <a:ext cx="2466975" cy="591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915025">
                                <a:moveTo>
                                  <a:pt x="2466974" y="5915024"/>
                                </a:moveTo>
                                <a:lnTo>
                                  <a:pt x="0" y="59150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91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432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6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432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3337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1464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09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09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3337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3813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786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786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3337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857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rect style="position:absolute;left:0;top:12930;width:3900;height:3930" id="docshape2" filled="true" fillcolor="#533377" stroked="false">
                  <v:fill opacity="32899f" type="solid"/>
                </v:rect>
                <v:rect style="position:absolute;left:3885;top:12930;width:15;height:3930" id="docshape3" filled="true" fillcolor="#000000" stroked="false">
                  <v:fill type="solid"/>
                </v:rect>
                <v:rect style="position:absolute;left:0;top:0;width:11919;height:3615" id="docshape4" filled="true" fillcolor="#533377" stroked="false">
                  <v:fill type="solid"/>
                </v:rect>
                <v:rect style="position:absolute;left:3885;top:3615;width:15;height:9315" id="docshape5" filled="true" fillcolor="#000000" stroked="false">
                  <v:fill type="solid"/>
                </v:rect>
                <v:rect style="position:absolute;left:0;top:3615;width:3885;height:9315" id="docshape6" filled="true" fillcolor="#533377" stroked="false">
                  <v:fill opacity="32899f" type="solid"/>
                </v:rect>
                <v:shape style="position:absolute;left:562;top:4477;width:495;height:480" id="docshape7" coordorigin="562,4477" coordsize="495,480" path="m817,4957l802,4957,791,4957,722,4943,660,4910,610,4860,577,4798,563,4729,562,4717,563,4706,577,4637,610,4575,660,4525,722,4492,791,4478,802,4477,817,4477,887,4488,951,4518,1003,4565,1039,4626,1056,4694,1057,4717,1057,4729,1043,4798,1010,4860,960,4910,898,4943,829,4957,817,4957xe" filled="true" fillcolor="#533377" stroked="false">
                  <v:path arrowok="t"/>
                  <v:fill type="solid"/>
                </v:shape>
                <v:shape style="position:absolute;left:562;top:4477;width:495;height:480" id="docshape8" coordorigin="562,4477" coordsize="495,480" path="m562,4717l573,4648,603,4584,650,4532,711,4496,779,4479,802,4477,817,4477,887,4488,951,4518,1003,4565,1039,4626,1056,4694,1057,4717,1057,4729,1043,4798,1010,4860,960,4910,898,4943,829,4957,817,4957,802,4957,733,4947,669,4917,617,4870,581,4809,564,4741,562,4717xe" filled="false" stroked="true" strokeweight="2.25pt" strokecolor="#533377">
                  <v:path arrowok="t"/>
                  <v:stroke dashstyle="solid"/>
                </v:shape>
                <v:shape style="position:absolute;left:675;top:4590;width:261;height:255" type="#_x0000_t75" id="docshape9" stroked="false">
                  <v:imagedata r:id="rId6" o:title=""/>
                </v:shape>
                <v:shape style="position:absolute;left:562;top:5212;width:495;height:495" id="docshape10" coordorigin="562,5212" coordsize="495,495" path="m810,5707l750,5700,693,5678,644,5643,604,5598,577,5544,564,5485,562,5460,563,5448,573,5388,598,5333,635,5285,683,5248,738,5223,798,5213,810,5212,822,5213,882,5223,937,5248,985,5285,1022,5333,1047,5388,1057,5448,1057,5460,1057,5472,1047,5532,1022,5587,985,5635,937,5672,882,5697,822,5707,810,5707xe" filled="true" fillcolor="#533377" stroked="false">
                  <v:path arrowok="t"/>
                  <v:fill type="solid"/>
                </v:shape>
                <v:shape style="position:absolute;left:562;top:5212;width:495;height:495" id="docshape11" coordorigin="562,5212" coordsize="495,495" path="m562,5460l562,5460,563,5448,573,5388,598,5333,635,5285,683,5248,738,5223,798,5213,810,5212,810,5212,870,5220,927,5242,976,5277,1016,5322,1043,5376,1056,5435,1057,5460,1057,5460,1050,5520,1028,5577,993,5626,948,5666,894,5693,835,5706,810,5707,810,5707,750,5700,693,5678,644,5643,604,5598,577,5544,564,5485,562,5460xe" filled="false" stroked="true" strokeweight="2.25pt" strokecolor="#533377">
                  <v:path arrowok="t"/>
                  <v:stroke dashstyle="solid"/>
                </v:shape>
                <v:shape style="position:absolute;left:692;top:5325;width:226;height:261" type="#_x0000_t75" id="docshape12" stroked="false">
                  <v:imagedata r:id="rId7" o:title=""/>
                </v:shape>
                <v:shape style="position:absolute;left:562;top:5962;width:495;height:495" id="docshape13" coordorigin="562,5962" coordsize="495,495" path="m810,6457l750,6450,693,6428,644,6393,604,6348,577,6294,564,6235,562,6210,563,6198,573,6138,598,6083,635,6035,683,5998,738,5973,798,5963,810,5962,822,5963,882,5973,937,5998,985,6035,1022,6083,1047,6138,1057,6198,1057,6210,1057,6222,1047,6282,1022,6337,985,6385,937,6422,882,6447,822,6457,810,6457xe" filled="true" fillcolor="#533377" stroked="false">
                  <v:path arrowok="t"/>
                  <v:fill type="solid"/>
                </v:shape>
                <v:shape style="position:absolute;left:562;top:5962;width:495;height:495" id="docshape14" coordorigin="562,5962" coordsize="495,495" path="m562,6210l562,6210,563,6198,573,6138,598,6083,635,6035,683,5998,738,5973,798,5963,810,5962,810,5962,870,5970,927,5992,976,6027,1016,6072,1043,6126,1056,6185,1057,6210,1057,6210,1050,6270,1028,6327,993,6376,948,6416,894,6443,835,6456,810,6457,810,6457,750,6450,693,6428,644,6393,604,6348,577,6294,564,6235,562,6210xe" filled="false" stroked="true" strokeweight="2.25pt" strokecolor="#533377">
                  <v:path arrowok="t"/>
                  <v:stroke dashstyle="solid"/>
                </v:shape>
                <v:shape style="position:absolute;left:675;top:607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Budgeting and financial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100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Certified</w:t>
      </w:r>
      <w:r>
        <w:rPr>
          <w:spacing w:val="37"/>
          <w:sz w:val="18"/>
        </w:rPr>
        <w:t> </w:t>
      </w:r>
      <w:r>
        <w:rPr>
          <w:sz w:val="18"/>
        </w:rPr>
        <w:t>Public</w:t>
      </w:r>
      <w:r>
        <w:rPr>
          <w:spacing w:val="29"/>
          <w:sz w:val="18"/>
        </w:rPr>
        <w:t> </w:t>
      </w:r>
      <w:r>
        <w:rPr>
          <w:sz w:val="18"/>
        </w:rPr>
        <w:t>Accountant</w:t>
      </w:r>
      <w:r>
        <w:rPr>
          <w:spacing w:val="38"/>
          <w:sz w:val="18"/>
        </w:rPr>
        <w:t> </w:t>
      </w:r>
      <w:r>
        <w:rPr>
          <w:sz w:val="18"/>
        </w:rPr>
        <w:t>(CPA),</w:t>
      </w:r>
      <w:r>
        <w:rPr>
          <w:spacing w:val="29"/>
          <w:sz w:val="18"/>
        </w:rPr>
        <w:t> </w:t>
      </w:r>
      <w:r>
        <w:rPr>
          <w:sz w:val="18"/>
        </w:rPr>
        <w:t>AICPA</w:t>
      </w:r>
      <w:r>
        <w:rPr>
          <w:spacing w:val="29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580" w:bottom="280" w:left="425" w:right="850"/>
      <w:cols w:num="2" w:equalWidth="0">
        <w:col w:w="2567" w:space="1301"/>
        <w:col w:w="6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3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0"/>
      <w:ind w:left="411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e.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2026-02-20T12:13:07Z</dcterms:created>
  <dcterms:modified xsi:type="dcterms:W3CDTF">2026-02-20T12:13:07Z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