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15" w:right="0" w:firstLine="0"/>
        <w:jc w:val="left"/>
        <w:rPr>
          <w:rFonts w:ascii="Verdana"/>
          <w:sz w:val="78"/>
        </w:rPr>
      </w:pPr>
      <w:r>
        <w:rPr>
          <w:rFonts w:ascii="Calibri"/>
          <w:b/>
          <w:color w:val="FFFFFF"/>
          <w:w w:val="120"/>
          <w:sz w:val="78"/>
        </w:rPr>
        <w:t>Devon</w:t>
      </w:r>
      <w:r>
        <w:rPr>
          <w:rFonts w:ascii="Calibri"/>
          <w:b/>
          <w:color w:val="FFFFFF"/>
          <w:spacing w:val="1"/>
          <w:w w:val="120"/>
          <w:sz w:val="78"/>
        </w:rPr>
        <w:t>  </w:t>
      </w:r>
      <w:r>
        <w:rPr>
          <w:rFonts w:ascii="Verdana"/>
          <w:color w:val="FFFFFF"/>
          <w:spacing w:val="-2"/>
          <w:w w:val="110"/>
          <w:sz w:val="78"/>
        </w:rPr>
        <w:t>Young</w:t>
      </w:r>
    </w:p>
    <w:p>
      <w:pPr>
        <w:pStyle w:val="Heading2"/>
      </w:pPr>
      <w:r>
        <w:rPr>
          <w:color w:val="FFFFFF"/>
          <w:spacing w:val="12"/>
          <w:w w:val="130"/>
        </w:rPr>
        <w:t>Banking</w:t>
      </w:r>
      <w:r>
        <w:rPr>
          <w:color w:val="FFFFFF"/>
          <w:spacing w:val="59"/>
          <w:w w:val="130"/>
        </w:rPr>
        <w:t> </w:t>
      </w:r>
      <w:r>
        <w:rPr>
          <w:color w:val="FFFFFF"/>
          <w:spacing w:val="8"/>
          <w:w w:val="130"/>
        </w:rPr>
        <w:t>Lawyer</w:t>
      </w:r>
    </w:p>
    <w:p>
      <w:pPr>
        <w:pStyle w:val="BodyText"/>
        <w:spacing w:before="222"/>
        <w:ind w:left="4415"/>
      </w:pPr>
      <w:r>
        <w:rPr>
          <w:color w:val="FFFFFF"/>
          <w:w w:val="105"/>
        </w:rPr>
        <w:t>Strategic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banking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attorney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deep regulatory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compliance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knowledge</w:t>
      </w:r>
    </w:p>
    <w:p>
      <w:pPr>
        <w:pStyle w:val="BodyText"/>
        <w:spacing w:line="266" w:lineRule="auto" w:before="136"/>
        <w:ind w:left="4415" w:right="65"/>
      </w:pPr>
      <w:r>
        <w:rPr>
          <w:color w:val="FFFFFF"/>
        </w:rPr>
        <w:t>Banking</w:t>
      </w:r>
      <w:r>
        <w:rPr>
          <w:color w:val="FFFFFF"/>
          <w:spacing w:val="35"/>
        </w:rPr>
        <w:t> </w:t>
      </w:r>
      <w:r>
        <w:rPr>
          <w:color w:val="FFFFFF"/>
        </w:rPr>
        <w:t>lawyer with</w:t>
      </w:r>
      <w:r>
        <w:rPr>
          <w:color w:val="FFFFFF"/>
          <w:spacing w:val="35"/>
        </w:rPr>
        <w:t> </w:t>
      </w:r>
      <w:r>
        <w:rPr>
          <w:color w:val="FFFFFF"/>
        </w:rPr>
        <w:t>10 years</w:t>
      </w:r>
      <w:r>
        <w:rPr>
          <w:color w:val="FFFFFF"/>
          <w:spacing w:val="35"/>
        </w:rPr>
        <w:t> </w:t>
      </w:r>
      <w:r>
        <w:rPr>
          <w:color w:val="FFFFFF"/>
        </w:rPr>
        <w:t>of experience</w:t>
      </w:r>
      <w:r>
        <w:rPr>
          <w:color w:val="FFFFFF"/>
          <w:spacing w:val="35"/>
        </w:rPr>
        <w:t> </w:t>
      </w:r>
      <w:r>
        <w:rPr>
          <w:color w:val="FFFFFF"/>
        </w:rPr>
        <w:t>advising</w:t>
      </w:r>
      <w:r>
        <w:rPr>
          <w:color w:val="FFFFFF"/>
          <w:spacing w:val="35"/>
        </w:rPr>
        <w:t> </w:t>
      </w:r>
      <w:r>
        <w:rPr>
          <w:color w:val="FFFFFF"/>
        </w:rPr>
        <w:t>financial institutions</w:t>
      </w:r>
      <w:r>
        <w:rPr>
          <w:color w:val="FFFFFF"/>
          <w:spacing w:val="35"/>
        </w:rPr>
        <w:t> </w:t>
      </w:r>
      <w:r>
        <w:rPr>
          <w:color w:val="FFFFFF"/>
        </w:rPr>
        <w:t>on federal banking</w:t>
      </w:r>
      <w:r>
        <w:rPr>
          <w:color w:val="FFFFFF"/>
          <w:spacing w:val="34"/>
        </w:rPr>
        <w:t> </w:t>
      </w:r>
      <w:r>
        <w:rPr>
          <w:color w:val="FFFFFF"/>
        </w:rPr>
        <w:t>regulations,</w:t>
      </w:r>
      <w:r>
        <w:rPr>
          <w:color w:val="FFFFFF"/>
          <w:spacing w:val="34"/>
        </w:rPr>
        <w:t> </w:t>
      </w:r>
      <w:r>
        <w:rPr>
          <w:color w:val="FFFFFF"/>
        </w:rPr>
        <w:t>lending</w:t>
      </w:r>
      <w:r>
        <w:rPr>
          <w:color w:val="FFFFFF"/>
          <w:spacing w:val="34"/>
        </w:rPr>
        <w:t> </w:t>
      </w:r>
      <w:r>
        <w:rPr>
          <w:color w:val="FFFFFF"/>
        </w:rPr>
        <w:t>transactions,</w:t>
      </w:r>
      <w:r>
        <w:rPr>
          <w:color w:val="FFFFFF"/>
          <w:spacing w:val="34"/>
        </w:rPr>
        <w:t> </w:t>
      </w:r>
      <w:r>
        <w:rPr>
          <w:color w:val="FFFFFF"/>
        </w:rPr>
        <w:t>and</w:t>
      </w:r>
      <w:r>
        <w:rPr>
          <w:color w:val="FFFFFF"/>
          <w:spacing w:val="34"/>
        </w:rPr>
        <w:t> </w:t>
      </w:r>
      <w:r>
        <w:rPr>
          <w:color w:val="FFFFFF"/>
        </w:rPr>
        <w:t>anti-money</w:t>
      </w:r>
      <w:r>
        <w:rPr>
          <w:color w:val="FFFFFF"/>
          <w:spacing w:val="24"/>
        </w:rPr>
        <w:t> </w:t>
      </w:r>
      <w:r>
        <w:rPr>
          <w:color w:val="FFFFFF"/>
        </w:rPr>
        <w:t>laundering (AML)</w:t>
      </w:r>
      <w:r>
        <w:rPr>
          <w:color w:val="FFFFFF"/>
          <w:spacing w:val="23"/>
        </w:rPr>
        <w:t> </w:t>
      </w:r>
      <w:r>
        <w:rPr>
          <w:color w:val="FFFFFF"/>
        </w:rPr>
        <w:t>compliance.</w:t>
      </w:r>
      <w:r>
        <w:rPr>
          <w:color w:val="FFFFFF"/>
          <w:spacing w:val="23"/>
        </w:rPr>
        <w:t> </w:t>
      </w:r>
      <w:r>
        <w:rPr>
          <w:color w:val="FFFFFF"/>
        </w:rPr>
        <w:t>Proven</w:t>
      </w:r>
      <w:r>
        <w:rPr>
          <w:color w:val="FFFFFF"/>
          <w:spacing w:val="23"/>
        </w:rPr>
        <w:t> </w:t>
      </w:r>
      <w:r>
        <w:rPr>
          <w:color w:val="FFFFFF"/>
        </w:rPr>
        <w:t>ability to</w:t>
      </w:r>
      <w:r>
        <w:rPr>
          <w:color w:val="FFFFFF"/>
          <w:spacing w:val="23"/>
        </w:rPr>
        <w:t> </w:t>
      </w:r>
      <w:r>
        <w:rPr>
          <w:color w:val="FFFFFF"/>
        </w:rPr>
        <w:t>reduce</w:t>
      </w:r>
      <w:r>
        <w:rPr>
          <w:color w:val="FFFFFF"/>
          <w:spacing w:val="23"/>
        </w:rPr>
        <w:t> </w:t>
      </w:r>
      <w:r>
        <w:rPr>
          <w:color w:val="FFFFFF"/>
        </w:rPr>
        <w:t>risk</w:t>
      </w:r>
      <w:r>
        <w:rPr>
          <w:color w:val="FFFFFF"/>
          <w:spacing w:val="23"/>
        </w:rPr>
        <w:t> </w:t>
      </w:r>
      <w:r>
        <w:rPr>
          <w:color w:val="FFFFFF"/>
        </w:rPr>
        <w:t>and</w:t>
      </w:r>
      <w:r>
        <w:rPr>
          <w:color w:val="FFFFFF"/>
          <w:spacing w:val="23"/>
        </w:rPr>
        <w:t> </w:t>
      </w:r>
      <w:r>
        <w:rPr>
          <w:color w:val="FFFFFF"/>
        </w:rPr>
        <w:t>strengthen</w:t>
      </w:r>
      <w:r>
        <w:rPr>
          <w:color w:val="FFFFFF"/>
          <w:spacing w:val="23"/>
        </w:rPr>
        <w:t> </w:t>
      </w:r>
      <w:r>
        <w:rPr>
          <w:color w:val="FFFFFF"/>
        </w:rPr>
        <w:t>internal controls.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425"/>
        </w:sectPr>
      </w:pPr>
    </w:p>
    <w:p>
      <w:pPr>
        <w:pStyle w:val="Heading1"/>
        <w:spacing w:line="556" w:lineRule="exact" w:before="111"/>
      </w:pPr>
      <w:r>
        <w:rPr>
          <w:color w:val="073762"/>
          <w:spacing w:val="-2"/>
          <w:w w:val="135"/>
          <w:sz w:val="48"/>
        </w:rPr>
        <w:t>P</w:t>
      </w:r>
      <w:r>
        <w:rPr>
          <w:color w:val="073762"/>
          <w:spacing w:val="-2"/>
          <w:w w:val="135"/>
        </w:rPr>
        <w:t>ERSONAL</w:t>
      </w:r>
    </w:p>
    <w:p>
      <w:pPr>
        <w:spacing w:line="324" w:lineRule="exact" w:before="0"/>
        <w:ind w:left="100" w:right="0" w:firstLine="0"/>
        <w:jc w:val="left"/>
        <w:rPr>
          <w:rFonts w:ascii="Calibri"/>
          <w:b/>
          <w:sz w:val="29"/>
        </w:rPr>
      </w:pPr>
      <w:r>
        <w:rPr>
          <w:rFonts w:ascii="Calibri"/>
          <w:b/>
          <w:color w:val="073762"/>
          <w:spacing w:val="-2"/>
          <w:w w:val="125"/>
          <w:sz w:val="29"/>
        </w:rPr>
        <w:t>INFORMATION</w:t>
      </w:r>
    </w:p>
    <w:p>
      <w:pPr>
        <w:pStyle w:val="BodyText"/>
        <w:spacing w:before="78"/>
        <w:rPr>
          <w:rFonts w:ascii="Calibri"/>
          <w:b/>
          <w:sz w:val="29"/>
        </w:rPr>
      </w:pPr>
    </w:p>
    <w:p>
      <w:pPr>
        <w:pStyle w:val="BodyText"/>
        <w:spacing w:line="331" w:lineRule="auto" w:before="1"/>
        <w:ind w:left="430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6">
        <w:r>
          <w:rPr>
            <w:w w:val="105"/>
          </w:rPr>
          <w:t>devon.young@email.com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40"/>
      </w:pPr>
      <w:r>
        <w:rPr>
          <w:color w:val="073762"/>
          <w:w w:val="135"/>
          <w:sz w:val="48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4"/>
          <w:w w:val="140"/>
        </w:rPr>
        <w:t> </w:t>
      </w:r>
      <w:r>
        <w:rPr>
          <w:color w:val="073762"/>
          <w:spacing w:val="-2"/>
          <w:w w:val="140"/>
        </w:rPr>
        <w:t>SKILLS</w:t>
      </w:r>
    </w:p>
    <w:p>
      <w:pPr>
        <w:pStyle w:val="BodyText"/>
        <w:spacing w:before="53"/>
        <w:rPr>
          <w:rFonts w:ascii="Calibri"/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Banking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law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Regulatory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risk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5"/>
          <w:sz w:val="18"/>
        </w:rPr>
        <w:t>AML</w:t>
      </w:r>
      <w:r>
        <w:rPr>
          <w:spacing w:val="-2"/>
          <w:w w:val="115"/>
          <w:sz w:val="18"/>
        </w:rPr>
        <w:t> compliance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Commercial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lending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Legal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audits</w:t>
      </w:r>
    </w:p>
    <w:p>
      <w:pPr>
        <w:pStyle w:val="BodyText"/>
        <w:spacing w:before="59"/>
      </w:pPr>
    </w:p>
    <w:p>
      <w:pPr>
        <w:pStyle w:val="Heading1"/>
      </w:pPr>
      <w:r>
        <w:rPr>
          <w:color w:val="073762"/>
          <w:spacing w:val="-2"/>
          <w:w w:val="130"/>
          <w:sz w:val="48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spacing w:before="156"/>
        <w:ind w:left="100" w:right="0" w:firstLine="0"/>
        <w:jc w:val="left"/>
        <w:rPr>
          <w:rFonts w:ascii="Calibri"/>
          <w:b/>
          <w:sz w:val="29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48"/>
        </w:rPr>
        <w:t>P</w:t>
      </w:r>
      <w:r>
        <w:rPr>
          <w:rFonts w:ascii="Calibri"/>
          <w:b/>
          <w:color w:val="073762"/>
          <w:w w:val="130"/>
          <w:sz w:val="29"/>
        </w:rPr>
        <w:t>ROFESSIONAL</w:t>
      </w:r>
      <w:r>
        <w:rPr>
          <w:rFonts w:ascii="Calibri"/>
          <w:b/>
          <w:color w:val="073762"/>
          <w:spacing w:val="61"/>
          <w:w w:val="135"/>
          <w:sz w:val="29"/>
        </w:rPr>
        <w:t> </w:t>
      </w:r>
      <w:r>
        <w:rPr>
          <w:rFonts w:ascii="Calibri"/>
          <w:b/>
          <w:color w:val="073762"/>
          <w:spacing w:val="-2"/>
          <w:w w:val="135"/>
          <w:sz w:val="29"/>
        </w:rPr>
        <w:t>EXPERIENCE</w:t>
      </w:r>
    </w:p>
    <w:p>
      <w:pPr>
        <w:pStyle w:val="BodyText"/>
        <w:spacing w:line="326" w:lineRule="auto" w:before="302"/>
        <w:ind w:left="100" w:right="429"/>
      </w:pPr>
      <w:r>
        <w:rPr>
          <w:w w:val="115"/>
        </w:rPr>
        <w:t>SENIOR</w:t>
      </w:r>
      <w:r>
        <w:rPr>
          <w:spacing w:val="-15"/>
          <w:w w:val="115"/>
        </w:rPr>
        <w:t> </w:t>
      </w:r>
      <w:r>
        <w:rPr>
          <w:w w:val="115"/>
        </w:rPr>
        <w:t>BANKING</w:t>
      </w:r>
      <w:r>
        <w:rPr>
          <w:spacing w:val="-15"/>
          <w:w w:val="115"/>
        </w:rPr>
        <w:t> </w:t>
      </w:r>
      <w:r>
        <w:rPr>
          <w:w w:val="115"/>
        </w:rPr>
        <w:t>COUNSEL</w:t>
      </w:r>
      <w:r>
        <w:rPr>
          <w:spacing w:val="-21"/>
          <w:w w:val="115"/>
        </w:rPr>
        <w:t> </w:t>
      </w:r>
      <w:r>
        <w:rPr>
          <w:w w:val="85"/>
        </w:rPr>
        <w:t>|</w:t>
      </w:r>
      <w:r>
        <w:rPr>
          <w:spacing w:val="-15"/>
          <w:w w:val="115"/>
        </w:rPr>
        <w:t> </w:t>
      </w:r>
      <w:r>
        <w:rPr>
          <w:w w:val="115"/>
        </w:rPr>
        <w:t>GLENROCK</w:t>
      </w:r>
      <w:r>
        <w:rPr>
          <w:spacing w:val="-18"/>
          <w:w w:val="115"/>
        </w:rPr>
        <w:t> </w:t>
      </w:r>
      <w:r>
        <w:rPr>
          <w:w w:val="115"/>
        </w:rPr>
        <w:t>FINANCIAL,</w:t>
      </w:r>
      <w:r>
        <w:rPr>
          <w:spacing w:val="-15"/>
          <w:w w:val="115"/>
        </w:rPr>
        <w:t> </w:t>
      </w:r>
      <w:r>
        <w:rPr>
          <w:w w:val="115"/>
        </w:rPr>
        <w:t>NEW</w:t>
      </w:r>
      <w:r>
        <w:rPr>
          <w:spacing w:val="-29"/>
          <w:w w:val="115"/>
        </w:rPr>
        <w:t> </w:t>
      </w:r>
      <w:r>
        <w:rPr>
          <w:w w:val="115"/>
        </w:rPr>
        <w:t>YORK,</w:t>
      </w:r>
      <w:r>
        <w:rPr>
          <w:spacing w:val="-15"/>
          <w:w w:val="115"/>
        </w:rPr>
        <w:t> </w:t>
      </w:r>
      <w:r>
        <w:rPr>
          <w:w w:val="115"/>
        </w:rPr>
        <w:t>NY MAY 2018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line="259" w:lineRule="auto" w:before="197"/>
        <w:ind w:left="658"/>
      </w:pPr>
      <w:r>
        <w:rPr>
          <w:w w:val="105"/>
        </w:rPr>
        <w:t>Advise on banking transactions exceeding $200 million in value across regulatory and commercial lending portfolios</w:t>
      </w:r>
    </w:p>
    <w:p>
      <w:pPr>
        <w:pStyle w:val="BodyText"/>
        <w:spacing w:line="276" w:lineRule="auto" w:before="104"/>
        <w:ind w:left="658"/>
      </w:pPr>
      <w:r>
        <w:rPr>
          <w:w w:val="105"/>
        </w:rPr>
        <w:t>Lead firm-wide legal</w:t>
      </w:r>
      <w:r>
        <w:rPr>
          <w:spacing w:val="-5"/>
          <w:w w:val="105"/>
        </w:rPr>
        <w:t> </w:t>
      </w:r>
      <w:r>
        <w:rPr>
          <w:w w:val="105"/>
        </w:rPr>
        <w:t>audits to maintain compliance</w:t>
      </w:r>
      <w:r>
        <w:rPr>
          <w:spacing w:val="-5"/>
          <w:w w:val="105"/>
        </w:rPr>
        <w:t> </w:t>
      </w:r>
      <w:r>
        <w:rPr>
          <w:w w:val="105"/>
        </w:rPr>
        <w:t>with FDIC and OCC </w:t>
      </w:r>
      <w:r>
        <w:rPr>
          <w:spacing w:val="-2"/>
          <w:w w:val="105"/>
        </w:rPr>
        <w:t>regulations</w:t>
      </w:r>
    </w:p>
    <w:p>
      <w:pPr>
        <w:pStyle w:val="BodyText"/>
        <w:spacing w:line="259" w:lineRule="auto" w:before="89"/>
        <w:ind w:left="658"/>
      </w:pPr>
      <w:r>
        <w:rPr>
          <w:w w:val="105"/>
        </w:rPr>
        <w:t>Partner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compliance</w:t>
      </w:r>
      <w:r>
        <w:rPr>
          <w:spacing w:val="-2"/>
          <w:w w:val="105"/>
        </w:rPr>
        <w:t> </w:t>
      </w:r>
      <w:r>
        <w:rPr>
          <w:w w:val="105"/>
        </w:rPr>
        <w:t>teams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update</w:t>
      </w:r>
      <w:r>
        <w:rPr>
          <w:spacing w:val="-9"/>
          <w:w w:val="105"/>
        </w:rPr>
        <w:t> </w:t>
      </w:r>
      <w:r>
        <w:rPr>
          <w:w w:val="105"/>
        </w:rPr>
        <w:t>AML</w:t>
      </w:r>
      <w:r>
        <w:rPr>
          <w:spacing w:val="-9"/>
          <w:w w:val="105"/>
        </w:rPr>
        <w:t> </w:t>
      </w:r>
      <w:r>
        <w:rPr>
          <w:w w:val="105"/>
        </w:rPr>
        <w:t>policies,</w:t>
      </w:r>
      <w:r>
        <w:rPr>
          <w:spacing w:val="-2"/>
          <w:w w:val="105"/>
        </w:rPr>
        <w:t> </w:t>
      </w:r>
      <w:r>
        <w:rPr>
          <w:w w:val="105"/>
        </w:rPr>
        <w:t>resulting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two clean audit cycles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276" w:lineRule="auto"/>
        <w:ind w:left="100"/>
      </w:pPr>
      <w:r>
        <w:rPr>
          <w:w w:val="110"/>
        </w:rPr>
        <w:t>ASSOCIATE ATTORNEY </w:t>
      </w:r>
      <w:r>
        <w:rPr>
          <w:w w:val="130"/>
        </w:rPr>
        <w:t>– </w:t>
      </w:r>
      <w:r>
        <w:rPr>
          <w:w w:val="110"/>
        </w:rPr>
        <w:t>FINANCIAL SERVICES </w:t>
      </w:r>
      <w:r>
        <w:rPr>
          <w:w w:val="85"/>
        </w:rPr>
        <w:t>| </w:t>
      </w:r>
      <w:r>
        <w:rPr>
          <w:w w:val="110"/>
        </w:rPr>
        <w:t>BENTON &amp; SHAW LLP, NEW YORK,</w:t>
      </w:r>
      <w:r>
        <w:rPr>
          <w:spacing w:val="-6"/>
          <w:w w:val="110"/>
        </w:rPr>
        <w:t> </w:t>
      </w:r>
      <w:r>
        <w:rPr>
          <w:w w:val="110"/>
        </w:rPr>
        <w:t>NY</w:t>
      </w:r>
    </w:p>
    <w:p>
      <w:pPr>
        <w:pStyle w:val="BodyText"/>
        <w:spacing w:before="45"/>
        <w:ind w:left="100"/>
      </w:pPr>
      <w:r>
        <w:rPr>
          <w:spacing w:val="-2"/>
          <w:w w:val="115"/>
        </w:rPr>
        <w:t>AUGUST</w:t>
      </w:r>
      <w:r>
        <w:rPr>
          <w:spacing w:val="-16"/>
          <w:w w:val="115"/>
        </w:rPr>
        <w:t> </w:t>
      </w:r>
      <w:r>
        <w:rPr>
          <w:spacing w:val="-2"/>
          <w:w w:val="115"/>
        </w:rPr>
        <w:t>2014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6"/>
          <w:w w:val="115"/>
        </w:rPr>
        <w:t> </w:t>
      </w:r>
      <w:r>
        <w:rPr>
          <w:spacing w:val="-2"/>
          <w:w w:val="115"/>
        </w:rPr>
        <w:t>AUGUST</w:t>
      </w:r>
      <w:r>
        <w:rPr>
          <w:spacing w:val="-15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BodyText"/>
        <w:spacing w:before="61"/>
      </w:pPr>
    </w:p>
    <w:p>
      <w:pPr>
        <w:pStyle w:val="BodyText"/>
        <w:spacing w:line="259" w:lineRule="auto" w:before="1"/>
        <w:ind w:left="658" w:right="429"/>
      </w:pPr>
      <w:r>
        <w:rPr>
          <w:w w:val="105"/>
        </w:rPr>
        <w:t>Drafted loan agreements, escrow</w:t>
      </w:r>
      <w:r>
        <w:rPr>
          <w:spacing w:val="-6"/>
          <w:w w:val="105"/>
        </w:rPr>
        <w:t> </w:t>
      </w:r>
      <w:r>
        <w:rPr>
          <w:w w:val="105"/>
        </w:rPr>
        <w:t>instructions, and handled due diligence for commercial bank clients</w:t>
      </w:r>
    </w:p>
    <w:p>
      <w:pPr>
        <w:pStyle w:val="BodyText"/>
        <w:spacing w:line="276" w:lineRule="auto" w:before="103"/>
        <w:ind w:left="658" w:right="429"/>
      </w:pPr>
      <w:r>
        <w:rPr>
          <w:w w:val="105"/>
        </w:rPr>
        <w:t>Provided counsel on Dodd-Frank Act implementation for mid-size regional</w:t>
      </w:r>
      <w:r>
        <w:rPr>
          <w:spacing w:val="-15"/>
          <w:w w:val="105"/>
        </w:rPr>
        <w:t> </w:t>
      </w:r>
      <w:r>
        <w:rPr>
          <w:w w:val="105"/>
        </w:rPr>
        <w:t>banks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40" w:bottom="280" w:left="141" w:right="425"/>
          <w:cols w:num="2" w:equalWidth="0">
            <w:col w:w="3101" w:space="1325"/>
            <w:col w:w="6928"/>
          </w:cols>
        </w:sectPr>
      </w:pPr>
    </w:p>
    <w:p>
      <w:pPr>
        <w:pStyle w:val="BodyText"/>
        <w:spacing w:before="1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809874" y="2552700"/>
                            <a:ext cx="4758690" cy="574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743575">
                                <a:moveTo>
                                  <a:pt x="4758308" y="5743574"/>
                                </a:moveTo>
                                <a:lnTo>
                                  <a:pt x="0" y="57435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74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133712" y="3838574"/>
                            <a:ext cx="47625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1457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838449"/>
                            <a:ext cx="2809875" cy="350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505200">
                                <a:moveTo>
                                  <a:pt x="2809862" y="3238500"/>
                                </a:moveTo>
                                <a:lnTo>
                                  <a:pt x="0" y="3238500"/>
                                </a:lnTo>
                                <a:lnTo>
                                  <a:pt x="0" y="3505200"/>
                                </a:lnTo>
                                <a:lnTo>
                                  <a:pt x="2809862" y="3505200"/>
                                </a:lnTo>
                                <a:lnTo>
                                  <a:pt x="2809862" y="3238500"/>
                                </a:lnTo>
                                <a:close/>
                              </a:path>
                              <a:path w="2809875" h="3505200">
                                <a:moveTo>
                                  <a:pt x="2809862" y="1476375"/>
                                </a:moveTo>
                                <a:lnTo>
                                  <a:pt x="0" y="1476375"/>
                                </a:lnTo>
                                <a:lnTo>
                                  <a:pt x="0" y="1743075"/>
                                </a:lnTo>
                                <a:lnTo>
                                  <a:pt x="2809862" y="1743075"/>
                                </a:lnTo>
                                <a:lnTo>
                                  <a:pt x="2809862" y="1476375"/>
                                </a:lnTo>
                                <a:close/>
                              </a:path>
                              <a:path w="2809875" h="35052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lnTo>
                                  <a:pt x="2809862" y="4762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2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8" o:title=""/>
                </v:shape>
                <v:rect style="position:absolute;left:4425;top:4020;width:7494;height:9045" id="docshape5" filled="true" fillcolor="#f5f5f5" stroked="false">
                  <v:fill type="solid"/>
                </v:rect>
                <v:shape style="position:absolute;left:4934;top:6045;width:75;height:3645" id="docshape6" coordorigin="4935,6045" coordsize="75,3645" path="m5010,9647l5009,9642,5005,9633,5003,9629,4996,9622,4992,9620,4983,9616,4978,9615,4967,9615,4962,9616,4953,9620,4949,9622,4942,9629,4940,9633,4936,9642,4935,9647,4935,9653,4935,9658,4936,9663,4940,9672,4942,9676,4949,9683,4953,9685,4962,9689,4967,9690,4978,9690,4983,9689,4992,9685,4996,9683,5003,9676,5005,9672,5009,9663,5010,9658,5010,9647xm5010,9092l5009,9087,5005,9078,5003,9074,4996,9067,4992,9065,4983,9061,4978,9060,4967,9060,4962,9061,4953,9065,4949,9067,4942,9074,4940,9078,4936,9087,4935,9092,4935,9098,4935,9103,4936,9108,4940,9117,4942,9121,4949,9128,4953,9130,4962,9134,4967,9135,4978,9135,4983,9134,4992,9130,4996,9128,5003,9121,5005,9117,5009,9108,5010,9103,5010,9092xm5010,7187l5009,7182,5005,7173,5003,7169,4996,7162,4992,7160,4983,7156,4978,7155,4967,7155,4962,7156,4953,7160,4949,7162,4942,7169,4940,7173,4936,7182,4935,7187,4935,7193,4935,7198,4936,7203,4940,7212,4942,7216,4949,7223,4953,7225,4962,7229,4967,7230,4978,7230,4983,7229,4992,7225,4996,7223,5003,7216,5005,7212,5009,7203,5010,7198,5010,7187xm5010,6632l5009,6627,5005,6618,5003,6614,4996,6607,4992,6605,4983,6601,4978,6600,4967,6600,4962,6601,4953,6605,4949,6607,4942,6614,4940,6618,4936,6627,4935,6632,4935,6638,4935,6643,4936,6648,4940,6657,4942,6661,4949,6668,4953,6670,4962,6674,4967,6675,4978,6675,4983,6674,4992,6670,4996,6668,5003,6661,5005,6657,5009,6648,5010,6643,5010,6632xm5010,6077l5009,6072,5005,6063,5003,6059,4996,6052,4992,6050,4983,6046,4978,6045,4967,6045,4962,6046,4953,6050,4949,6052,4942,6059,4940,6063,4936,6072,4935,6077,4935,6083,4935,6088,4936,6093,4940,6102,4942,6106,4949,6113,4953,6115,4962,6119,4967,6120,4978,6120,4983,6119,4992,6115,4996,6113,5003,6106,5005,6102,5009,6093,5010,6088,5010,6077xe" filled="true" fillcolor="#000000" stroked="false">
                  <v:path arrowok="t"/>
                  <v:fill type="solid"/>
                </v:shape>
                <v:shape style="position:absolute;left:0;top:4470;width:4425;height:5520" id="docshape7" coordorigin="0,4470" coordsize="4425,5520" path="m4425,9570l0,9570,0,9990,4425,9990,4425,9570xm4425,6795l0,6795,0,7215,4425,7215,4425,6795xm4425,4470l0,4470,0,5220,4425,5220,4425,44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435"/>
      </w:pPr>
      <w:r>
        <w:rPr/>
        <w:t>Juris</w:t>
      </w:r>
      <w:r>
        <w:rPr>
          <w:spacing w:val="21"/>
        </w:rPr>
        <w:t> </w:t>
      </w:r>
      <w:r>
        <w:rPr/>
        <w:t>Doctor</w:t>
      </w:r>
      <w:r>
        <w:rPr>
          <w:spacing w:val="13"/>
        </w:rPr>
        <w:t> </w:t>
      </w:r>
      <w:r>
        <w:rPr>
          <w:spacing w:val="-2"/>
        </w:rPr>
        <w:t>(J.D.)</w:t>
      </w:r>
    </w:p>
    <w:p>
      <w:pPr>
        <w:pStyle w:val="BodyText"/>
        <w:spacing w:before="61"/>
      </w:pPr>
    </w:p>
    <w:p>
      <w:pPr>
        <w:pStyle w:val="BodyText"/>
        <w:spacing w:line="259" w:lineRule="auto" w:before="1"/>
        <w:ind w:left="807" w:right="7340"/>
      </w:pPr>
      <w:r>
        <w:rPr/>
        <w:t>Fordham University School of Law </w:t>
      </w:r>
      <w:r>
        <w:rPr>
          <w:w w:val="85"/>
        </w:rPr>
        <w:t>| </w:t>
      </w:r>
      <w:r>
        <w:rPr>
          <w:spacing w:val="-4"/>
        </w:rPr>
        <w:t>2014</w:t>
      </w:r>
    </w:p>
    <w:p>
      <w:pPr>
        <w:pStyle w:val="BodyText"/>
        <w:spacing w:before="179"/>
      </w:pPr>
    </w:p>
    <w:p>
      <w:pPr>
        <w:pStyle w:val="BodyText"/>
        <w:spacing w:line="532" w:lineRule="auto"/>
        <w:ind w:left="807" w:right="8248" w:hanging="372"/>
      </w:pPr>
      <w:r>
        <w:rPr/>
        <w:t>Bachelor of Science in Finance St.</w:t>
      </w:r>
      <w:r>
        <w:rPr>
          <w:spacing w:val="-3"/>
        </w:rPr>
        <w:t> </w:t>
      </w:r>
      <w:r>
        <w:rPr/>
        <w:t>John’s University</w:t>
      </w:r>
      <w:r>
        <w:rPr>
          <w:spacing w:val="-3"/>
        </w:rPr>
        <w:t> </w:t>
      </w:r>
      <w:r>
        <w:rPr>
          <w:w w:val="85"/>
        </w:rPr>
        <w:t>| </w:t>
      </w:r>
      <w:r>
        <w:rPr/>
        <w:t>2010</w:t>
      </w:r>
    </w:p>
    <w:sectPr>
      <w:type w:val="continuous"/>
      <w:pgSz w:w="11920" w:h="16860"/>
      <w:pgMar w:top="8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6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2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8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8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56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92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28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1"/>
      <w:ind w:left="4415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evon.young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4.jpe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2026-02-15T18:26:29Z</dcterms:created>
  <dcterms:modified xsi:type="dcterms:W3CDTF">2026-02-15T18:26:29Z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