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60"/>
        <w:rPr>
          <w:rFonts w:ascii="Times New Roman"/>
          <w:sz w:val="70"/>
        </w:rPr>
      </w:pPr>
    </w:p>
    <w:p>
      <w:pPr>
        <w:spacing w:before="1"/>
        <w:ind w:left="23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98B78"/>
          <w:spacing w:val="11"/>
          <w:sz w:val="70"/>
        </w:rPr>
        <w:t>Logan</w:t>
      </w:r>
      <w:r>
        <w:rPr>
          <w:rFonts w:ascii="Arial"/>
          <w:b/>
          <w:color w:val="F98B78"/>
          <w:spacing w:val="-46"/>
          <w:sz w:val="70"/>
        </w:rPr>
        <w:t> </w:t>
      </w:r>
      <w:r>
        <w:rPr>
          <w:rFonts w:ascii="Microsoft Sans Serif"/>
          <w:color w:val="F98B78"/>
          <w:spacing w:val="6"/>
          <w:sz w:val="70"/>
        </w:rPr>
        <w:t>Hall</w:t>
      </w:r>
    </w:p>
    <w:p>
      <w:pPr>
        <w:spacing w:before="182"/>
        <w:ind w:left="154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F98B78"/>
          <w:sz w:val="26"/>
        </w:rPr>
        <w:t>Retail</w:t>
      </w:r>
      <w:r>
        <w:rPr>
          <w:rFonts w:ascii="Microsoft Sans Serif"/>
          <w:color w:val="F98B78"/>
          <w:spacing w:val="7"/>
          <w:sz w:val="26"/>
        </w:rPr>
        <w:t> </w:t>
      </w:r>
      <w:r>
        <w:rPr>
          <w:rFonts w:ascii="Microsoft Sans Serif"/>
          <w:color w:val="F98B78"/>
          <w:spacing w:val="-4"/>
          <w:sz w:val="26"/>
        </w:rPr>
        <w:t>Buyer</w:t>
      </w:r>
    </w:p>
    <w:p>
      <w:pPr>
        <w:spacing w:before="166"/>
        <w:ind w:left="154" w:right="0" w:firstLine="0"/>
        <w:jc w:val="left"/>
        <w:rPr>
          <w:sz w:val="13"/>
        </w:rPr>
      </w:pPr>
      <w:r>
        <w:rPr>
          <w:w w:val="110"/>
          <w:sz w:val="13"/>
        </w:rPr>
        <w:t>City,</w:t>
      </w:r>
      <w:r>
        <w:rPr>
          <w:spacing w:val="36"/>
          <w:w w:val="110"/>
          <w:sz w:val="13"/>
        </w:rPr>
        <w:t> </w:t>
      </w:r>
      <w:r>
        <w:rPr>
          <w:w w:val="110"/>
          <w:sz w:val="13"/>
        </w:rPr>
        <w:t>ST</w:t>
      </w:r>
      <w:r>
        <w:rPr>
          <w:spacing w:val="64"/>
          <w:w w:val="110"/>
          <w:sz w:val="13"/>
        </w:rPr>
        <w:t> </w:t>
      </w:r>
      <w:r>
        <w:rPr>
          <w:sz w:val="9"/>
        </w:rPr>
        <w:t>•</w:t>
      </w:r>
      <w:r>
        <w:rPr>
          <w:spacing w:val="74"/>
          <w:w w:val="110"/>
          <w:sz w:val="9"/>
        </w:rPr>
        <w:t> </w:t>
      </w:r>
      <w:hyperlink r:id="rId5">
        <w:r>
          <w:rPr>
            <w:spacing w:val="-2"/>
            <w:w w:val="110"/>
            <w:sz w:val="13"/>
          </w:rPr>
          <w:t>email@example.com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Heading2"/>
      </w:pPr>
      <w:r>
        <w:rPr>
          <w:w w:val="125"/>
        </w:rPr>
        <w:t>Analytical</w:t>
      </w:r>
      <w:r>
        <w:rPr>
          <w:spacing w:val="23"/>
          <w:w w:val="125"/>
        </w:rPr>
        <w:t> </w:t>
      </w:r>
      <w:r>
        <w:rPr>
          <w:w w:val="125"/>
        </w:rPr>
        <w:t>retail</w:t>
      </w:r>
      <w:r>
        <w:rPr>
          <w:spacing w:val="24"/>
          <w:w w:val="125"/>
        </w:rPr>
        <w:t> </w:t>
      </w:r>
      <w:r>
        <w:rPr>
          <w:w w:val="125"/>
        </w:rPr>
        <w:t>buyer</w:t>
      </w:r>
      <w:r>
        <w:rPr>
          <w:spacing w:val="24"/>
          <w:w w:val="125"/>
        </w:rPr>
        <w:t> </w:t>
      </w:r>
      <w:r>
        <w:rPr>
          <w:w w:val="125"/>
        </w:rPr>
        <w:t>with</w:t>
      </w:r>
      <w:r>
        <w:rPr>
          <w:spacing w:val="24"/>
          <w:w w:val="125"/>
        </w:rPr>
        <w:t> </w:t>
      </w:r>
      <w:r>
        <w:rPr>
          <w:w w:val="125"/>
        </w:rPr>
        <w:t>experience</w:t>
      </w:r>
      <w:r>
        <w:rPr>
          <w:spacing w:val="24"/>
          <w:w w:val="125"/>
        </w:rPr>
        <w:t> </w:t>
      </w:r>
      <w:r>
        <w:rPr>
          <w:w w:val="125"/>
        </w:rPr>
        <w:t>managing</w:t>
      </w:r>
      <w:r>
        <w:rPr>
          <w:spacing w:val="23"/>
          <w:w w:val="125"/>
        </w:rPr>
        <w:t> </w:t>
      </w:r>
      <w:r>
        <w:rPr>
          <w:w w:val="125"/>
        </w:rPr>
        <w:t>seasonal</w:t>
      </w:r>
      <w:r>
        <w:rPr>
          <w:spacing w:val="24"/>
          <w:w w:val="125"/>
        </w:rPr>
        <w:t> </w:t>
      </w:r>
      <w:r>
        <w:rPr>
          <w:w w:val="125"/>
        </w:rPr>
        <w:t>inventory</w:t>
      </w:r>
      <w:r>
        <w:rPr>
          <w:spacing w:val="24"/>
          <w:w w:val="125"/>
        </w:rPr>
        <w:t> </w:t>
      </w:r>
      <w:r>
        <w:rPr>
          <w:w w:val="125"/>
        </w:rPr>
        <w:t>and</w:t>
      </w:r>
      <w:r>
        <w:rPr>
          <w:spacing w:val="24"/>
          <w:w w:val="125"/>
        </w:rPr>
        <w:t> </w:t>
      </w:r>
      <w:r>
        <w:rPr>
          <w:w w:val="125"/>
        </w:rPr>
        <w:t>vendor</w:t>
      </w:r>
      <w:r>
        <w:rPr>
          <w:spacing w:val="24"/>
          <w:w w:val="125"/>
        </w:rPr>
        <w:t> </w:t>
      </w:r>
      <w:r>
        <w:rPr>
          <w:spacing w:val="-2"/>
          <w:w w:val="125"/>
        </w:rPr>
        <w:t>relations</w:t>
      </w:r>
    </w:p>
    <w:p>
      <w:pPr>
        <w:pStyle w:val="BodyText"/>
        <w:spacing w:line="276" w:lineRule="auto" w:before="12"/>
        <w:ind w:left="23"/>
      </w:pPr>
      <w:r>
        <w:rPr>
          <w:w w:val="120"/>
        </w:rPr>
        <w:t>Retail</w:t>
      </w:r>
      <w:r>
        <w:rPr>
          <w:spacing w:val="34"/>
          <w:w w:val="120"/>
        </w:rPr>
        <w:t> </w:t>
      </w:r>
      <w:r>
        <w:rPr>
          <w:w w:val="120"/>
        </w:rPr>
        <w:t>buyer</w:t>
      </w:r>
      <w:r>
        <w:rPr>
          <w:spacing w:val="34"/>
          <w:w w:val="120"/>
        </w:rPr>
        <w:t> </w:t>
      </w:r>
      <w:r>
        <w:rPr>
          <w:w w:val="120"/>
        </w:rPr>
        <w:t>with</w:t>
      </w:r>
      <w:r>
        <w:rPr>
          <w:spacing w:val="34"/>
          <w:w w:val="120"/>
        </w:rPr>
        <w:t> </w:t>
      </w:r>
      <w:r>
        <w:rPr>
          <w:w w:val="120"/>
        </w:rPr>
        <w:t>7</w:t>
      </w:r>
      <w:r>
        <w:rPr>
          <w:spacing w:val="34"/>
          <w:w w:val="120"/>
        </w:rPr>
        <w:t> </w:t>
      </w:r>
      <w:r>
        <w:rPr>
          <w:w w:val="120"/>
        </w:rPr>
        <w:t>years</w:t>
      </w:r>
      <w:r>
        <w:rPr>
          <w:spacing w:val="34"/>
          <w:w w:val="120"/>
        </w:rPr>
        <w:t> </w:t>
      </w:r>
      <w:r>
        <w:rPr>
          <w:w w:val="120"/>
        </w:rPr>
        <w:t>of</w:t>
      </w:r>
      <w:r>
        <w:rPr>
          <w:spacing w:val="34"/>
          <w:w w:val="120"/>
        </w:rPr>
        <w:t> </w:t>
      </w:r>
      <w:r>
        <w:rPr>
          <w:w w:val="120"/>
        </w:rPr>
        <w:t>experience</w:t>
      </w:r>
      <w:r>
        <w:rPr>
          <w:spacing w:val="34"/>
          <w:w w:val="120"/>
        </w:rPr>
        <w:t> </w:t>
      </w:r>
      <w:r>
        <w:rPr>
          <w:w w:val="120"/>
        </w:rPr>
        <w:t>selecting</w:t>
      </w:r>
      <w:r>
        <w:rPr>
          <w:spacing w:val="34"/>
          <w:w w:val="120"/>
        </w:rPr>
        <w:t> </w:t>
      </w:r>
      <w:r>
        <w:rPr>
          <w:w w:val="120"/>
        </w:rPr>
        <w:t>merchandise,</w:t>
      </w:r>
      <w:r>
        <w:rPr>
          <w:spacing w:val="34"/>
          <w:w w:val="120"/>
        </w:rPr>
        <w:t> </w:t>
      </w:r>
      <w:r>
        <w:rPr>
          <w:w w:val="120"/>
        </w:rPr>
        <w:t>forecasting</w:t>
      </w:r>
      <w:r>
        <w:rPr>
          <w:spacing w:val="34"/>
          <w:w w:val="120"/>
        </w:rPr>
        <w:t> </w:t>
      </w:r>
      <w:r>
        <w:rPr>
          <w:w w:val="120"/>
        </w:rPr>
        <w:t>demand,</w:t>
      </w:r>
      <w:r>
        <w:rPr>
          <w:spacing w:val="34"/>
          <w:w w:val="120"/>
        </w:rPr>
        <w:t> </w:t>
      </w:r>
      <w:r>
        <w:rPr>
          <w:w w:val="120"/>
        </w:rPr>
        <w:t>and</w:t>
      </w:r>
      <w:r>
        <w:rPr>
          <w:spacing w:val="34"/>
          <w:w w:val="120"/>
        </w:rPr>
        <w:t> </w:t>
      </w:r>
      <w:r>
        <w:rPr>
          <w:w w:val="120"/>
        </w:rPr>
        <w:t>negotiating</w:t>
      </w:r>
      <w:r>
        <w:rPr>
          <w:spacing w:val="34"/>
          <w:w w:val="120"/>
        </w:rPr>
        <w:t> </w:t>
      </w:r>
      <w:r>
        <w:rPr>
          <w:w w:val="120"/>
        </w:rPr>
        <w:t>with</w:t>
      </w:r>
      <w:r>
        <w:rPr>
          <w:spacing w:val="34"/>
          <w:w w:val="120"/>
        </w:rPr>
        <w:t> </w:t>
      </w:r>
      <w:r>
        <w:rPr>
          <w:w w:val="120"/>
        </w:rPr>
        <w:t>vendors</w:t>
      </w:r>
      <w:r>
        <w:rPr>
          <w:spacing w:val="34"/>
          <w:w w:val="120"/>
        </w:rPr>
        <w:t> </w:t>
      </w:r>
      <w:r>
        <w:rPr>
          <w:w w:val="120"/>
        </w:rPr>
        <w:t>to</w:t>
      </w:r>
      <w:r>
        <w:rPr>
          <w:spacing w:val="34"/>
          <w:w w:val="120"/>
        </w:rPr>
        <w:t> </w:t>
      </w:r>
      <w:r>
        <w:rPr>
          <w:w w:val="120"/>
        </w:rPr>
        <w:t>maximize margin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minimize</w:t>
      </w:r>
      <w:r>
        <w:rPr>
          <w:spacing w:val="40"/>
          <w:w w:val="120"/>
        </w:rPr>
        <w:t> </w:t>
      </w:r>
      <w:r>
        <w:rPr>
          <w:w w:val="120"/>
        </w:rPr>
        <w:t>excess</w:t>
      </w:r>
      <w:r>
        <w:rPr>
          <w:spacing w:val="40"/>
          <w:w w:val="120"/>
        </w:rPr>
        <w:t> </w:t>
      </w:r>
      <w:r>
        <w:rPr>
          <w:w w:val="120"/>
        </w:rPr>
        <w:t>inventory.</w:t>
      </w:r>
      <w:r>
        <w:rPr>
          <w:spacing w:val="40"/>
          <w:w w:val="120"/>
        </w:rPr>
        <w:t> </w:t>
      </w:r>
      <w:r>
        <w:rPr>
          <w:w w:val="120"/>
        </w:rPr>
        <w:t>Strong</w:t>
      </w:r>
      <w:r>
        <w:rPr>
          <w:spacing w:val="40"/>
          <w:w w:val="120"/>
        </w:rPr>
        <w:t> </w:t>
      </w:r>
      <w:r>
        <w:rPr>
          <w:w w:val="120"/>
        </w:rPr>
        <w:t>understanding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trend</w:t>
      </w:r>
      <w:r>
        <w:rPr>
          <w:spacing w:val="40"/>
          <w:w w:val="120"/>
        </w:rPr>
        <w:t> </w:t>
      </w:r>
      <w:r>
        <w:rPr>
          <w:w w:val="120"/>
        </w:rPr>
        <w:t>analysis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product</w:t>
      </w:r>
      <w:r>
        <w:rPr>
          <w:spacing w:val="40"/>
          <w:w w:val="120"/>
        </w:rPr>
        <w:t> </w:t>
      </w:r>
      <w:r>
        <w:rPr>
          <w:w w:val="120"/>
        </w:rPr>
        <w:t>lifecycle</w:t>
      </w:r>
      <w:r>
        <w:rPr>
          <w:spacing w:val="40"/>
          <w:w w:val="120"/>
        </w:rPr>
        <w:t> </w:t>
      </w:r>
      <w:r>
        <w:rPr>
          <w:w w:val="120"/>
        </w:rPr>
        <w:t>management.</w:t>
      </w:r>
    </w:p>
    <w:p>
      <w:pPr>
        <w:pStyle w:val="BodyText"/>
        <w:spacing w:before="26"/>
      </w:pPr>
    </w:p>
    <w:p>
      <w:pPr>
        <w:pStyle w:val="Heading1"/>
      </w:pPr>
      <w:r>
        <w:rPr>
          <w:color w:val="F98B78"/>
          <w:sz w:val="28"/>
        </w:rPr>
        <w:t>K</w:t>
      </w:r>
      <w:r>
        <w:rPr>
          <w:color w:val="F98B78"/>
        </w:rPr>
        <w:t>ey</w:t>
      </w:r>
      <w:r>
        <w:rPr>
          <w:color w:val="F98B78"/>
          <w:spacing w:val="5"/>
        </w:rPr>
        <w:t> </w:t>
      </w:r>
      <w:r>
        <w:rPr>
          <w:color w:val="F98B78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133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45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Vendor</w:t>
      </w:r>
      <w:r>
        <w:rPr>
          <w:spacing w:val="19"/>
          <w:w w:val="120"/>
          <w:sz w:val="15"/>
        </w:rPr>
        <w:t> </w:t>
      </w:r>
      <w:r>
        <w:rPr>
          <w:spacing w:val="-2"/>
          <w:w w:val="120"/>
          <w:sz w:val="15"/>
        </w:rPr>
        <w:t>negotiation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Cost</w:t>
      </w:r>
      <w:r>
        <w:rPr>
          <w:spacing w:val="19"/>
          <w:w w:val="120"/>
          <w:sz w:val="15"/>
        </w:rPr>
        <w:t> </w:t>
      </w:r>
      <w:r>
        <w:rPr>
          <w:spacing w:val="-2"/>
          <w:w w:val="120"/>
          <w:sz w:val="15"/>
        </w:rPr>
        <w:t>analysis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Purchase</w:t>
      </w:r>
      <w:r>
        <w:rPr>
          <w:spacing w:val="23"/>
          <w:w w:val="125"/>
          <w:sz w:val="15"/>
        </w:rPr>
        <w:t> </w:t>
      </w:r>
      <w:r>
        <w:rPr>
          <w:spacing w:val="-2"/>
          <w:w w:val="125"/>
          <w:sz w:val="15"/>
        </w:rPr>
        <w:t>planning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45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5"/>
        </w:rPr>
        <w:t>Inventory</w:t>
      </w:r>
      <w:r>
        <w:rPr>
          <w:spacing w:val="25"/>
          <w:w w:val="120"/>
          <w:sz w:val="15"/>
        </w:rPr>
        <w:t> </w:t>
      </w:r>
      <w:r>
        <w:rPr>
          <w:spacing w:val="-2"/>
          <w:w w:val="120"/>
          <w:sz w:val="15"/>
        </w:rPr>
        <w:t>forecasting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Trend</w:t>
      </w:r>
      <w:r>
        <w:rPr>
          <w:spacing w:val="17"/>
          <w:w w:val="120"/>
          <w:sz w:val="15"/>
        </w:rPr>
        <w:t> </w:t>
      </w:r>
      <w:r>
        <w:rPr>
          <w:spacing w:val="-2"/>
          <w:w w:val="120"/>
          <w:sz w:val="15"/>
        </w:rPr>
        <w:t>research</w:t>
      </w:r>
    </w:p>
    <w:p>
      <w:pPr>
        <w:pStyle w:val="ListParagraph"/>
        <w:spacing w:after="0" w:line="331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133"/>
          <w:cols w:num="2" w:equalWidth="0">
            <w:col w:w="2199" w:space="1206"/>
            <w:col w:w="6532"/>
          </w:cols>
        </w:sectPr>
      </w:pPr>
    </w:p>
    <w:p>
      <w:pPr>
        <w:pStyle w:val="Heading1"/>
        <w:spacing w:before="17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f98b78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3724274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93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5819774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58.2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2114549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6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98B78"/>
          <w:sz w:val="28"/>
        </w:rPr>
        <w:t>P</w:t>
      </w:r>
      <w:r>
        <w:rPr>
          <w:color w:val="F98B78"/>
        </w:rPr>
        <w:t>rofessional</w:t>
      </w:r>
      <w:r>
        <w:rPr>
          <w:color w:val="F98B78"/>
          <w:spacing w:val="53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spacing w:line="276" w:lineRule="auto" w:before="262"/>
        <w:ind w:left="358" w:right="4803"/>
      </w:pPr>
      <w:r>
        <w:rPr>
          <w:w w:val="110"/>
        </w:rPr>
        <w:t>Retail</w:t>
      </w:r>
      <w:r>
        <w:rPr>
          <w:spacing w:val="40"/>
          <w:w w:val="110"/>
        </w:rPr>
        <w:t> </w:t>
      </w:r>
      <w:r>
        <w:rPr>
          <w:w w:val="110"/>
        </w:rPr>
        <w:t>Buyer</w:t>
      </w:r>
      <w:r>
        <w:rPr>
          <w:spacing w:val="71"/>
          <w:w w:val="110"/>
        </w:rPr>
        <w:t> </w:t>
      </w:r>
      <w:r>
        <w:rPr/>
        <w:t>|</w:t>
      </w:r>
      <w:r>
        <w:rPr>
          <w:spacing w:val="71"/>
          <w:w w:val="110"/>
        </w:rPr>
        <w:t> </w:t>
      </w:r>
      <w:r>
        <w:rPr>
          <w:w w:val="110"/>
        </w:rPr>
        <w:t>Northline</w:t>
      </w:r>
      <w:r>
        <w:rPr>
          <w:spacing w:val="40"/>
          <w:w w:val="110"/>
        </w:rPr>
        <w:t> </w:t>
      </w:r>
      <w:r>
        <w:rPr>
          <w:w w:val="110"/>
        </w:rPr>
        <w:t>Department</w:t>
      </w:r>
      <w:r>
        <w:rPr>
          <w:spacing w:val="40"/>
          <w:w w:val="110"/>
        </w:rPr>
        <w:t> </w:t>
      </w:r>
      <w:r>
        <w:rPr>
          <w:w w:val="110"/>
        </w:rPr>
        <w:t>Stores,</w:t>
      </w:r>
      <w:r>
        <w:rPr>
          <w:spacing w:val="40"/>
          <w:w w:val="110"/>
        </w:rPr>
        <w:t> </w:t>
      </w:r>
      <w:r>
        <w:rPr>
          <w:w w:val="110"/>
        </w:rPr>
        <w:t>Minneapolis,</w:t>
      </w:r>
      <w:r>
        <w:rPr>
          <w:spacing w:val="40"/>
          <w:w w:val="110"/>
        </w:rPr>
        <w:t> </w:t>
      </w:r>
      <w:r>
        <w:rPr>
          <w:w w:val="110"/>
        </w:rPr>
        <w:t>MN</w:t>
      </w:r>
      <w:r>
        <w:rPr>
          <w:spacing w:val="80"/>
          <w:w w:val="110"/>
        </w:rPr>
        <w:t> </w:t>
      </w:r>
      <w:r>
        <w:rPr>
          <w:w w:val="110"/>
        </w:rPr>
        <w:t>April 2019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126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Managed</w:t>
      </w:r>
      <w:r>
        <w:rPr>
          <w:spacing w:val="19"/>
          <w:w w:val="125"/>
          <w:sz w:val="15"/>
        </w:rPr>
        <w:t> </w:t>
      </w:r>
      <w:r>
        <w:rPr>
          <w:w w:val="125"/>
          <w:sz w:val="15"/>
        </w:rPr>
        <w:t>seasonal</w:t>
      </w:r>
      <w:r>
        <w:rPr>
          <w:spacing w:val="20"/>
          <w:w w:val="125"/>
          <w:sz w:val="15"/>
        </w:rPr>
        <w:t> </w:t>
      </w:r>
      <w:r>
        <w:rPr>
          <w:w w:val="125"/>
          <w:sz w:val="15"/>
        </w:rPr>
        <w:t>purchasing</w:t>
      </w:r>
      <w:r>
        <w:rPr>
          <w:spacing w:val="19"/>
          <w:w w:val="125"/>
          <w:sz w:val="15"/>
        </w:rPr>
        <w:t> </w:t>
      </w:r>
      <w:r>
        <w:rPr>
          <w:w w:val="125"/>
          <w:sz w:val="15"/>
        </w:rPr>
        <w:t>budgets</w:t>
      </w:r>
      <w:r>
        <w:rPr>
          <w:spacing w:val="20"/>
          <w:w w:val="125"/>
          <w:sz w:val="15"/>
        </w:rPr>
        <w:t> </w:t>
      </w:r>
      <w:r>
        <w:rPr>
          <w:w w:val="125"/>
          <w:sz w:val="15"/>
        </w:rPr>
        <w:t>exceeding</w:t>
      </w:r>
      <w:r>
        <w:rPr>
          <w:spacing w:val="20"/>
          <w:w w:val="125"/>
          <w:sz w:val="15"/>
        </w:rPr>
        <w:t> </w:t>
      </w:r>
      <w:r>
        <w:rPr>
          <w:w w:val="125"/>
          <w:sz w:val="15"/>
        </w:rPr>
        <w:t>$4</w:t>
      </w:r>
      <w:r>
        <w:rPr>
          <w:spacing w:val="19"/>
          <w:w w:val="125"/>
          <w:sz w:val="15"/>
        </w:rPr>
        <w:t> </w:t>
      </w:r>
      <w:r>
        <w:rPr>
          <w:w w:val="125"/>
          <w:sz w:val="15"/>
        </w:rPr>
        <w:t>million</w:t>
      </w:r>
      <w:r>
        <w:rPr>
          <w:spacing w:val="20"/>
          <w:w w:val="125"/>
          <w:sz w:val="15"/>
        </w:rPr>
        <w:t> </w:t>
      </w:r>
      <w:r>
        <w:rPr>
          <w:w w:val="125"/>
          <w:sz w:val="15"/>
        </w:rPr>
        <w:t>while</w:t>
      </w:r>
      <w:r>
        <w:rPr>
          <w:spacing w:val="19"/>
          <w:w w:val="125"/>
          <w:sz w:val="15"/>
        </w:rPr>
        <w:t> </w:t>
      </w:r>
      <w:r>
        <w:rPr>
          <w:w w:val="125"/>
          <w:sz w:val="15"/>
        </w:rPr>
        <w:t>maintaining</w:t>
      </w:r>
      <w:r>
        <w:rPr>
          <w:spacing w:val="20"/>
          <w:w w:val="125"/>
          <w:sz w:val="15"/>
        </w:rPr>
        <w:t> </w:t>
      </w:r>
      <w:r>
        <w:rPr>
          <w:w w:val="125"/>
          <w:sz w:val="15"/>
        </w:rPr>
        <w:t>margin</w:t>
      </w:r>
      <w:r>
        <w:rPr>
          <w:spacing w:val="20"/>
          <w:w w:val="125"/>
          <w:sz w:val="15"/>
        </w:rPr>
        <w:t> </w:t>
      </w:r>
      <w:r>
        <w:rPr>
          <w:spacing w:val="-2"/>
          <w:w w:val="125"/>
          <w:sz w:val="15"/>
        </w:rPr>
        <w:t>targets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Reduced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overstock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by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22%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through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improved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demand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forecasting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sell-through</w:t>
      </w:r>
      <w:r>
        <w:rPr>
          <w:spacing w:val="35"/>
          <w:w w:val="120"/>
          <w:sz w:val="15"/>
        </w:rPr>
        <w:t> </w:t>
      </w:r>
      <w:r>
        <w:rPr>
          <w:spacing w:val="-2"/>
          <w:w w:val="120"/>
          <w:sz w:val="15"/>
        </w:rPr>
        <w:t>analysis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Built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long-term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vendor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relationships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that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improved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delivery</w:t>
      </w:r>
      <w:r>
        <w:rPr>
          <w:spacing w:val="35"/>
          <w:w w:val="120"/>
          <w:sz w:val="15"/>
        </w:rPr>
        <w:t> </w:t>
      </w:r>
      <w:r>
        <w:rPr>
          <w:spacing w:val="-2"/>
          <w:w w:val="120"/>
          <w:sz w:val="15"/>
        </w:rPr>
        <w:t>timelines</w:t>
      </w:r>
    </w:p>
    <w:p>
      <w:pPr>
        <w:pStyle w:val="BodyText"/>
        <w:spacing w:line="276" w:lineRule="auto" w:before="147"/>
        <w:ind w:left="358" w:right="4554"/>
      </w:pPr>
      <w:r>
        <w:rPr>
          <w:w w:val="110"/>
        </w:rPr>
        <w:t>Assistant</w:t>
      </w:r>
      <w:r>
        <w:rPr>
          <w:spacing w:val="47"/>
          <w:w w:val="110"/>
        </w:rPr>
        <w:t> </w:t>
      </w:r>
      <w:r>
        <w:rPr>
          <w:w w:val="110"/>
        </w:rPr>
        <w:t>Buyer</w:t>
      </w:r>
      <w:r>
        <w:rPr>
          <w:spacing w:val="71"/>
          <w:w w:val="110"/>
        </w:rPr>
        <w:t> </w:t>
      </w:r>
      <w:r>
        <w:rPr/>
        <w:t>|</w:t>
      </w:r>
      <w:r>
        <w:rPr>
          <w:spacing w:val="71"/>
          <w:w w:val="110"/>
        </w:rPr>
        <w:t> </w:t>
      </w:r>
      <w:r>
        <w:rPr>
          <w:w w:val="110"/>
        </w:rPr>
        <w:t>Northline</w:t>
      </w:r>
      <w:r>
        <w:rPr>
          <w:spacing w:val="47"/>
          <w:w w:val="110"/>
        </w:rPr>
        <w:t> </w:t>
      </w:r>
      <w:r>
        <w:rPr>
          <w:w w:val="110"/>
        </w:rPr>
        <w:t>Department</w:t>
      </w:r>
      <w:r>
        <w:rPr>
          <w:spacing w:val="47"/>
          <w:w w:val="110"/>
        </w:rPr>
        <w:t> </w:t>
      </w:r>
      <w:r>
        <w:rPr>
          <w:w w:val="110"/>
        </w:rPr>
        <w:t>Stores,</w:t>
      </w:r>
      <w:r>
        <w:rPr>
          <w:spacing w:val="47"/>
          <w:w w:val="110"/>
        </w:rPr>
        <w:t> </w:t>
      </w:r>
      <w:r>
        <w:rPr>
          <w:w w:val="110"/>
        </w:rPr>
        <w:t>Minneapolis,</w:t>
      </w:r>
      <w:r>
        <w:rPr>
          <w:spacing w:val="47"/>
          <w:w w:val="110"/>
        </w:rPr>
        <w:t> </w:t>
      </w:r>
      <w:r>
        <w:rPr>
          <w:w w:val="110"/>
        </w:rPr>
        <w:t>MN</w:t>
      </w:r>
      <w:r>
        <w:rPr>
          <w:spacing w:val="80"/>
          <w:w w:val="110"/>
        </w:rPr>
        <w:t> </w:t>
      </w:r>
      <w:r>
        <w:rPr>
          <w:w w:val="110"/>
        </w:rPr>
        <w:t>June 2016 – March 2019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40" w:lineRule="auto" w:before="126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Supported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category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buyers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with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purchase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orders,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sales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reports,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inventory</w:t>
      </w:r>
      <w:r>
        <w:rPr>
          <w:spacing w:val="27"/>
          <w:w w:val="120"/>
          <w:sz w:val="15"/>
        </w:rPr>
        <w:t> </w:t>
      </w:r>
      <w:r>
        <w:rPr>
          <w:spacing w:val="-2"/>
          <w:w w:val="120"/>
          <w:sz w:val="15"/>
        </w:rPr>
        <w:t>tracking</w:t>
      </w:r>
    </w:p>
    <w:p>
      <w:pPr>
        <w:pStyle w:val="Heading1"/>
        <w:spacing w:before="176"/>
      </w:pPr>
      <w:r>
        <w:rPr>
          <w:color w:val="F98B78"/>
          <w:spacing w:val="-2"/>
          <w:sz w:val="28"/>
        </w:rPr>
        <w:t>E</w:t>
      </w:r>
      <w:r>
        <w:rPr>
          <w:color w:val="F98B78"/>
          <w:spacing w:val="-2"/>
        </w:rPr>
        <w:t>ducation</w:t>
      </w:r>
    </w:p>
    <w:p>
      <w:pPr>
        <w:pStyle w:val="BodyText"/>
        <w:spacing w:before="2"/>
        <w:rPr>
          <w:rFonts w:ascii="Arial"/>
          <w:b/>
          <w:sz w:val="24"/>
        </w:rPr>
      </w:pPr>
    </w:p>
    <w:p>
      <w:pPr>
        <w:pStyle w:val="BodyText"/>
        <w:ind w:left="358"/>
      </w:pPr>
      <w:r>
        <w:rPr>
          <w:w w:val="115"/>
        </w:rPr>
        <w:t>Bachelor</w:t>
      </w:r>
      <w:r>
        <w:rPr>
          <w:spacing w:val="39"/>
          <w:w w:val="115"/>
        </w:rPr>
        <w:t> </w:t>
      </w:r>
      <w:r>
        <w:rPr>
          <w:w w:val="115"/>
        </w:rPr>
        <w:t>of</w:t>
      </w:r>
      <w:r>
        <w:rPr>
          <w:spacing w:val="39"/>
          <w:w w:val="115"/>
        </w:rPr>
        <w:t> </w:t>
      </w:r>
      <w:r>
        <w:rPr>
          <w:w w:val="115"/>
        </w:rPr>
        <w:t>Science</w:t>
      </w:r>
      <w:r>
        <w:rPr>
          <w:spacing w:val="39"/>
          <w:w w:val="115"/>
        </w:rPr>
        <w:t> </w:t>
      </w:r>
      <w:r>
        <w:rPr>
          <w:w w:val="115"/>
        </w:rPr>
        <w:t>in</w:t>
      </w:r>
      <w:r>
        <w:rPr>
          <w:spacing w:val="39"/>
          <w:w w:val="115"/>
        </w:rPr>
        <w:t> </w:t>
      </w:r>
      <w:r>
        <w:rPr>
          <w:w w:val="115"/>
        </w:rPr>
        <w:t>Supply</w:t>
      </w:r>
      <w:r>
        <w:rPr>
          <w:spacing w:val="39"/>
          <w:w w:val="115"/>
        </w:rPr>
        <w:t> </w:t>
      </w:r>
      <w:r>
        <w:rPr>
          <w:w w:val="115"/>
        </w:rPr>
        <w:t>Chain</w:t>
      </w:r>
      <w:r>
        <w:rPr>
          <w:spacing w:val="39"/>
          <w:w w:val="115"/>
        </w:rPr>
        <w:t> </w:t>
      </w:r>
      <w:r>
        <w:rPr>
          <w:w w:val="115"/>
        </w:rPr>
        <w:t>Management</w:t>
      </w:r>
      <w:r>
        <w:rPr>
          <w:spacing w:val="61"/>
          <w:w w:val="115"/>
        </w:rPr>
        <w:t> </w:t>
      </w:r>
      <w:r>
        <w:rPr/>
        <w:t>|</w:t>
      </w:r>
      <w:r>
        <w:rPr>
          <w:spacing w:val="62"/>
          <w:w w:val="115"/>
        </w:rPr>
        <w:t> </w:t>
      </w:r>
      <w:r>
        <w:rPr>
          <w:w w:val="115"/>
        </w:rPr>
        <w:t>University</w:t>
      </w:r>
      <w:r>
        <w:rPr>
          <w:spacing w:val="39"/>
          <w:w w:val="115"/>
        </w:rPr>
        <w:t> </w:t>
      </w:r>
      <w:r>
        <w:rPr>
          <w:w w:val="115"/>
        </w:rPr>
        <w:t>of</w:t>
      </w:r>
      <w:r>
        <w:rPr>
          <w:spacing w:val="39"/>
          <w:w w:val="115"/>
        </w:rPr>
        <w:t> </w:t>
      </w:r>
      <w:r>
        <w:rPr>
          <w:w w:val="115"/>
        </w:rPr>
        <w:t>Minnesota</w:t>
      </w:r>
      <w:r>
        <w:rPr>
          <w:spacing w:val="39"/>
          <w:w w:val="115"/>
        </w:rPr>
        <w:t> </w:t>
      </w:r>
      <w:r>
        <w:rPr/>
        <w:t>|</w:t>
      </w:r>
      <w:r>
        <w:rPr>
          <w:spacing w:val="39"/>
          <w:w w:val="115"/>
        </w:rPr>
        <w:t> </w:t>
      </w:r>
      <w:r>
        <w:rPr>
          <w:spacing w:val="-4"/>
          <w:w w:val="115"/>
        </w:rPr>
        <w:t>2016</w:t>
      </w:r>
    </w:p>
    <w:sectPr>
      <w:type w:val="continuous"/>
      <w:pgSz w:w="11920" w:h="16860"/>
      <w:pgMar w:top="0" w:bottom="0" w:left="850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8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3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1" w:lineRule="exact"/>
      <w:ind w:left="65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2026-02-15T18:20:19Z</dcterms:created>
  <dcterms:modified xsi:type="dcterms:W3CDTF">2026-02-15T18:20:19Z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