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415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Blake</w:t>
      </w:r>
      <w:r>
        <w:rPr>
          <w:rFonts w:ascii="Calibri"/>
          <w:b/>
          <w:color w:val="FFFFFF"/>
          <w:spacing w:val="-17"/>
          <w:w w:val="125"/>
          <w:sz w:val="70"/>
        </w:rPr>
        <w:t>  </w:t>
      </w:r>
      <w:r>
        <w:rPr>
          <w:rFonts w:ascii="Calibri"/>
          <w:color w:val="FFFFFF"/>
          <w:spacing w:val="9"/>
          <w:w w:val="125"/>
          <w:sz w:val="70"/>
        </w:rPr>
        <w:t>Allen</w:t>
      </w:r>
    </w:p>
    <w:p>
      <w:pPr>
        <w:spacing w:before="74"/>
        <w:ind w:left="441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spacing w:val="10"/>
          <w:w w:val="125"/>
          <w:sz w:val="15"/>
        </w:rPr>
        <w:t>Real</w:t>
      </w:r>
      <w:r>
        <w:rPr>
          <w:rFonts w:ascii="Calibri"/>
          <w:b/>
          <w:color w:val="FFFFFF"/>
          <w:spacing w:val="38"/>
          <w:w w:val="125"/>
          <w:sz w:val="15"/>
        </w:rPr>
        <w:t> </w:t>
      </w:r>
      <w:r>
        <w:rPr>
          <w:rFonts w:ascii="Calibri"/>
          <w:b/>
          <w:color w:val="FFFFFF"/>
          <w:spacing w:val="11"/>
          <w:w w:val="125"/>
          <w:sz w:val="15"/>
        </w:rPr>
        <w:t>Estate</w:t>
      </w:r>
      <w:r>
        <w:rPr>
          <w:rFonts w:ascii="Calibri"/>
          <w:b/>
          <w:color w:val="FFFFFF"/>
          <w:spacing w:val="38"/>
          <w:w w:val="125"/>
          <w:sz w:val="15"/>
        </w:rPr>
        <w:t> </w:t>
      </w:r>
      <w:r>
        <w:rPr>
          <w:rFonts w:ascii="Calibri"/>
          <w:b/>
          <w:color w:val="FFFFFF"/>
          <w:spacing w:val="12"/>
          <w:w w:val="125"/>
          <w:sz w:val="15"/>
        </w:rPr>
        <w:t>Acquisitions</w:t>
      </w:r>
      <w:r>
        <w:rPr>
          <w:rFonts w:ascii="Calibri"/>
          <w:b/>
          <w:color w:val="FFFFFF"/>
          <w:spacing w:val="38"/>
          <w:w w:val="125"/>
          <w:sz w:val="15"/>
        </w:rPr>
        <w:t> </w:t>
      </w:r>
      <w:r>
        <w:rPr>
          <w:rFonts w:ascii="Calibri"/>
          <w:b/>
          <w:color w:val="FFFFFF"/>
          <w:spacing w:val="9"/>
          <w:w w:val="125"/>
          <w:sz w:val="15"/>
        </w:rPr>
        <w:t>Analyst</w:t>
      </w:r>
    </w:p>
    <w:p>
      <w:pPr>
        <w:pStyle w:val="BodyText"/>
        <w:spacing w:before="27"/>
        <w:rPr>
          <w:rFonts w:ascii="Calibri"/>
          <w:b/>
          <w:sz w:val="15"/>
        </w:rPr>
      </w:pPr>
    </w:p>
    <w:p>
      <w:pPr>
        <w:pStyle w:val="BodyText"/>
        <w:spacing w:before="0"/>
        <w:ind w:left="4415"/>
      </w:pPr>
      <w:r>
        <w:rPr>
          <w:color w:val="FFFFFF"/>
          <w:w w:val="105"/>
        </w:rPr>
        <w:t>Strategic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Acquisitions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Analyst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an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eye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market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opportunity</w:t>
      </w:r>
    </w:p>
    <w:p>
      <w:pPr>
        <w:pStyle w:val="BodyText"/>
        <w:spacing w:line="268" w:lineRule="auto" w:before="136"/>
        <w:ind w:left="4415"/>
      </w:pPr>
      <w:r>
        <w:rPr>
          <w:color w:val="FFFFFF"/>
          <w:w w:val="105"/>
        </w:rPr>
        <w:t>Real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Estate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Acquisitions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Analyst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six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evaluating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investment opportunities, underwriting deals, and supporting negotiation strategy. Strong background in financial modeling, due diligence, and identifying off-market opportunities for development and portfolio growth.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1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141" w:right="283"/>
        </w:sectPr>
      </w:pPr>
    </w:p>
    <w:p>
      <w:pPr>
        <w:pStyle w:val="Heading1"/>
        <w:spacing w:before="106"/>
      </w:pPr>
      <w:r>
        <w:rPr>
          <w:color w:val="789C2F"/>
          <w:w w:val="130"/>
          <w:sz w:val="41"/>
        </w:rPr>
        <w:t>P</w:t>
      </w:r>
      <w:r>
        <w:rPr>
          <w:color w:val="789C2F"/>
          <w:w w:val="130"/>
        </w:rPr>
        <w:t>ERSONAL</w:t>
      </w:r>
      <w:r>
        <w:rPr>
          <w:color w:val="789C2F"/>
          <w:spacing w:val="21"/>
          <w:w w:val="130"/>
        </w:rPr>
        <w:t> </w:t>
      </w:r>
      <w:r>
        <w:rPr>
          <w:color w:val="789C2F"/>
          <w:spacing w:val="-2"/>
          <w:w w:val="130"/>
        </w:rPr>
        <w:t>INFORMATION</w:t>
      </w:r>
    </w:p>
    <w:p>
      <w:pPr>
        <w:pStyle w:val="BodyText"/>
        <w:spacing w:before="131"/>
        <w:rPr>
          <w:rFonts w:ascii="Calibri"/>
          <w:b/>
          <w:sz w:val="22"/>
        </w:rPr>
      </w:pPr>
    </w:p>
    <w:p>
      <w:pPr>
        <w:pStyle w:val="BodyText"/>
        <w:spacing w:before="1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(555) 444-9090</w:t>
      </w:r>
    </w:p>
    <w:p>
      <w:pPr>
        <w:pStyle w:val="BodyText"/>
        <w:spacing w:line="357" w:lineRule="auto" w:before="133"/>
        <w:ind w:left="429" w:right="329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w w:val="105"/>
          </w:rPr>
          <w:t>blakeallen@email.com</w:t>
        </w:r>
      </w:hyperlink>
      <w:r>
        <w:rPr>
          <w:w w:val="105"/>
        </w:rPr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LinkedIn</w:t>
      </w:r>
    </w:p>
    <w:p>
      <w:pPr>
        <w:pStyle w:val="BodyText"/>
        <w:spacing w:before="7"/>
        <w:ind w:left="430"/>
      </w:pP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7"/>
        </w:rPr>
        <w:t>City,</w:t>
      </w:r>
      <w:r>
        <w:rPr/>
        <w:t> ST</w:t>
      </w:r>
    </w:p>
    <w:p>
      <w:pPr>
        <w:pStyle w:val="BodyText"/>
        <w:spacing w:before="44"/>
      </w:pPr>
    </w:p>
    <w:p>
      <w:pPr>
        <w:pStyle w:val="Heading1"/>
      </w:pPr>
      <w:r>
        <w:rPr>
          <w:color w:val="789C2F"/>
          <w:w w:val="135"/>
          <w:sz w:val="41"/>
        </w:rPr>
        <w:t>K</w:t>
      </w:r>
      <w:r>
        <w:rPr>
          <w:color w:val="789C2F"/>
          <w:w w:val="135"/>
        </w:rPr>
        <w:t>EY</w:t>
      </w:r>
      <w:r>
        <w:rPr>
          <w:color w:val="789C2F"/>
          <w:spacing w:val="-6"/>
          <w:w w:val="135"/>
        </w:rPr>
        <w:t> </w:t>
      </w:r>
      <w:r>
        <w:rPr>
          <w:color w:val="789C2F"/>
          <w:spacing w:val="-2"/>
          <w:w w:val="135"/>
        </w:rPr>
        <w:t>SKILLS</w:t>
      </w:r>
    </w:p>
    <w:p>
      <w:pPr>
        <w:pStyle w:val="BodyText"/>
        <w:spacing w:before="142"/>
        <w:rPr>
          <w:rFonts w:ascii="Calibri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Asset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underwriting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Cap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Comparative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market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research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Deal </w:t>
      </w:r>
      <w:r>
        <w:rPr>
          <w:spacing w:val="-2"/>
          <w:w w:val="105"/>
          <w:sz w:val="18"/>
        </w:rPr>
        <w:t>structuring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Development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pipeline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Financial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modeling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Investor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presentation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Risk</w:t>
      </w:r>
      <w:r>
        <w:rPr>
          <w:spacing w:val="-2"/>
          <w:w w:val="105"/>
          <w:sz w:val="18"/>
        </w:rPr>
        <w:t> analysis</w:t>
      </w:r>
    </w:p>
    <w:p>
      <w:pPr>
        <w:pStyle w:val="BodyText"/>
        <w:spacing w:before="50"/>
      </w:pPr>
    </w:p>
    <w:p>
      <w:pPr>
        <w:pStyle w:val="Heading1"/>
      </w:pPr>
      <w:r>
        <w:rPr>
          <w:color w:val="789C2F"/>
          <w:spacing w:val="-2"/>
          <w:w w:val="130"/>
          <w:sz w:val="41"/>
        </w:rPr>
        <w:t>E</w:t>
      </w:r>
      <w:r>
        <w:rPr>
          <w:color w:val="789C2F"/>
          <w:spacing w:val="-2"/>
          <w:w w:val="130"/>
        </w:rPr>
        <w:t>DUCATION</w:t>
      </w:r>
    </w:p>
    <w:p>
      <w:pPr>
        <w:spacing w:before="136"/>
        <w:ind w:left="100" w:right="0" w:firstLine="0"/>
        <w:jc w:val="left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color w:val="789C2F"/>
          <w:w w:val="130"/>
          <w:sz w:val="41"/>
        </w:rPr>
        <w:t>P</w:t>
      </w:r>
      <w:r>
        <w:rPr>
          <w:rFonts w:ascii="Calibri"/>
          <w:b/>
          <w:color w:val="789C2F"/>
          <w:w w:val="130"/>
          <w:sz w:val="22"/>
        </w:rPr>
        <w:t>ROFESSIONAL</w:t>
      </w:r>
      <w:r>
        <w:rPr>
          <w:rFonts w:ascii="Calibri"/>
          <w:b/>
          <w:color w:val="789C2F"/>
          <w:spacing w:val="22"/>
          <w:w w:val="135"/>
          <w:sz w:val="22"/>
        </w:rPr>
        <w:t> </w:t>
      </w:r>
      <w:r>
        <w:rPr>
          <w:rFonts w:ascii="Calibri"/>
          <w:b/>
          <w:color w:val="789C2F"/>
          <w:spacing w:val="-2"/>
          <w:w w:val="135"/>
          <w:sz w:val="22"/>
        </w:rPr>
        <w:t>EXPERIENCE</w:t>
      </w:r>
    </w:p>
    <w:p>
      <w:pPr>
        <w:pStyle w:val="BodyText"/>
        <w:spacing w:before="37"/>
        <w:rPr>
          <w:rFonts w:ascii="Calibri"/>
          <w:b/>
          <w:sz w:val="22"/>
        </w:rPr>
      </w:pPr>
    </w:p>
    <w:p>
      <w:pPr>
        <w:pStyle w:val="BodyText"/>
        <w:spacing w:line="326" w:lineRule="auto" w:before="1"/>
        <w:ind w:left="100" w:right="577"/>
      </w:pPr>
      <w:r>
        <w:rPr>
          <w:w w:val="110"/>
        </w:rPr>
        <w:t>ACQUISITIONS</w:t>
      </w:r>
      <w:r>
        <w:rPr>
          <w:spacing w:val="-4"/>
          <w:w w:val="110"/>
        </w:rPr>
        <w:t> </w:t>
      </w:r>
      <w:r>
        <w:rPr>
          <w:w w:val="110"/>
        </w:rPr>
        <w:t>ANALYST</w:t>
      </w:r>
      <w:r>
        <w:rPr>
          <w:spacing w:val="-4"/>
          <w:w w:val="110"/>
        </w:rPr>
        <w:t> </w:t>
      </w:r>
      <w:r>
        <w:rPr>
          <w:w w:val="85"/>
        </w:rPr>
        <w:t>| </w:t>
      </w:r>
      <w:r>
        <w:rPr>
          <w:w w:val="110"/>
        </w:rPr>
        <w:t>FAIRMONT</w:t>
      </w:r>
      <w:r>
        <w:rPr>
          <w:spacing w:val="-4"/>
          <w:w w:val="110"/>
        </w:rPr>
        <w:t> </w:t>
      </w:r>
      <w:r>
        <w:rPr>
          <w:w w:val="110"/>
        </w:rPr>
        <w:t>EQUITY</w:t>
      </w:r>
      <w:r>
        <w:rPr>
          <w:spacing w:val="-6"/>
          <w:w w:val="110"/>
        </w:rPr>
        <w:t> </w:t>
      </w:r>
      <w:r>
        <w:rPr>
          <w:w w:val="110"/>
        </w:rPr>
        <w:t>PARTNERS, CHICAGO, IL MAY 2020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before="196"/>
        <w:ind w:left="658"/>
      </w:pPr>
      <w:r>
        <w:rPr>
          <w:w w:val="105"/>
        </w:rPr>
        <w:t>Underwrote</w:t>
      </w:r>
      <w:r>
        <w:rPr>
          <w:spacing w:val="-4"/>
          <w:w w:val="105"/>
        </w:rPr>
        <w:t> </w:t>
      </w:r>
      <w:r>
        <w:rPr>
          <w:w w:val="105"/>
        </w:rPr>
        <w:t>50+</w:t>
      </w:r>
      <w:r>
        <w:rPr>
          <w:spacing w:val="-4"/>
          <w:w w:val="105"/>
        </w:rPr>
        <w:t> </w:t>
      </w:r>
      <w:r>
        <w:rPr>
          <w:w w:val="105"/>
        </w:rPr>
        <w:t>multifamily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commercial</w:t>
      </w:r>
      <w:r>
        <w:rPr>
          <w:spacing w:val="-11"/>
          <w:w w:val="105"/>
        </w:rPr>
        <w:t> </w:t>
      </w:r>
      <w:r>
        <w:rPr>
          <w:w w:val="105"/>
        </w:rPr>
        <w:t>deals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annually</w:t>
      </w:r>
    </w:p>
    <w:p>
      <w:pPr>
        <w:pStyle w:val="BodyText"/>
        <w:spacing w:line="379" w:lineRule="auto" w:before="106"/>
        <w:ind w:left="658" w:right="86"/>
      </w:pPr>
      <w:r>
        <w:rPr>
          <w:w w:val="105"/>
        </w:rPr>
        <w:t>Identified</w:t>
      </w:r>
      <w:r>
        <w:rPr>
          <w:spacing w:val="-6"/>
          <w:w w:val="105"/>
        </w:rPr>
        <w:t> </w:t>
      </w:r>
      <w:r>
        <w:rPr>
          <w:w w:val="105"/>
        </w:rPr>
        <w:t>$18M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6"/>
          <w:w w:val="105"/>
        </w:rPr>
        <w:t> </w:t>
      </w:r>
      <w:r>
        <w:rPr>
          <w:w w:val="105"/>
        </w:rPr>
        <w:t>off-market</w:t>
      </w:r>
      <w:r>
        <w:rPr>
          <w:spacing w:val="-6"/>
          <w:w w:val="105"/>
        </w:rPr>
        <w:t> </w:t>
      </w:r>
      <w:r>
        <w:rPr>
          <w:w w:val="105"/>
        </w:rPr>
        <w:t>deals</w:t>
      </w:r>
      <w:r>
        <w:rPr>
          <w:spacing w:val="-6"/>
          <w:w w:val="105"/>
        </w:rPr>
        <w:t> </w:t>
      </w:r>
      <w:r>
        <w:rPr>
          <w:w w:val="105"/>
        </w:rPr>
        <w:t>through</w:t>
      </w:r>
      <w:r>
        <w:rPr>
          <w:spacing w:val="-6"/>
          <w:w w:val="105"/>
        </w:rPr>
        <w:t> </w:t>
      </w:r>
      <w:r>
        <w:rPr>
          <w:w w:val="105"/>
        </w:rPr>
        <w:t>broker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seller</w:t>
      </w:r>
      <w:r>
        <w:rPr>
          <w:spacing w:val="-11"/>
          <w:w w:val="105"/>
        </w:rPr>
        <w:t> </w:t>
      </w:r>
      <w:r>
        <w:rPr>
          <w:w w:val="105"/>
        </w:rPr>
        <w:t>outreach Built investment summaries and presented to funding committees</w:t>
      </w:r>
    </w:p>
    <w:p>
      <w:pPr>
        <w:pStyle w:val="BodyText"/>
        <w:spacing w:before="120"/>
      </w:pPr>
    </w:p>
    <w:p>
      <w:pPr>
        <w:pStyle w:val="BodyText"/>
        <w:spacing w:line="345" w:lineRule="auto" w:before="1"/>
        <w:ind w:left="100" w:right="1724"/>
      </w:pPr>
      <w:r>
        <w:rPr>
          <w:w w:val="110"/>
        </w:rPr>
        <w:t>REAL</w:t>
      </w:r>
      <w:r>
        <w:rPr>
          <w:spacing w:val="-13"/>
          <w:w w:val="110"/>
        </w:rPr>
        <w:t> </w:t>
      </w:r>
      <w:r>
        <w:rPr>
          <w:w w:val="110"/>
        </w:rPr>
        <w:t>ESTATE</w:t>
      </w:r>
      <w:r>
        <w:rPr>
          <w:spacing w:val="-13"/>
          <w:w w:val="110"/>
        </w:rPr>
        <w:t> </w:t>
      </w:r>
      <w:r>
        <w:rPr>
          <w:w w:val="110"/>
        </w:rPr>
        <w:t>ANALYST</w:t>
      </w:r>
      <w:r>
        <w:rPr>
          <w:spacing w:val="-13"/>
          <w:w w:val="110"/>
        </w:rPr>
        <w:t> </w:t>
      </w:r>
      <w:r>
        <w:rPr>
          <w:w w:val="85"/>
        </w:rPr>
        <w:t>| </w:t>
      </w:r>
      <w:r>
        <w:rPr>
          <w:w w:val="110"/>
        </w:rPr>
        <w:t>MERIDAN</w:t>
      </w:r>
      <w:r>
        <w:rPr>
          <w:spacing w:val="-7"/>
          <w:w w:val="110"/>
        </w:rPr>
        <w:t> </w:t>
      </w:r>
      <w:r>
        <w:rPr>
          <w:w w:val="110"/>
        </w:rPr>
        <w:t>GROUP,</w:t>
      </w:r>
      <w:r>
        <w:rPr>
          <w:spacing w:val="-7"/>
          <w:w w:val="110"/>
        </w:rPr>
        <w:t> </w:t>
      </w:r>
      <w:r>
        <w:rPr>
          <w:w w:val="110"/>
        </w:rPr>
        <w:t>CHICAGO,</w:t>
      </w:r>
      <w:r>
        <w:rPr>
          <w:spacing w:val="-7"/>
          <w:w w:val="110"/>
        </w:rPr>
        <w:t> </w:t>
      </w:r>
      <w:r>
        <w:rPr>
          <w:w w:val="110"/>
        </w:rPr>
        <w:t>IL JUNE 2018 </w:t>
      </w:r>
      <w:r>
        <w:rPr>
          <w:w w:val="130"/>
        </w:rPr>
        <w:t>– </w:t>
      </w:r>
      <w:r>
        <w:rPr>
          <w:w w:val="110"/>
        </w:rPr>
        <w:t>APRIL 2020</w:t>
      </w:r>
    </w:p>
    <w:p>
      <w:pPr>
        <w:pStyle w:val="BodyText"/>
        <w:spacing w:line="276" w:lineRule="auto" w:before="163"/>
        <w:ind w:left="658" w:right="577"/>
      </w:pPr>
      <w:r>
        <w:rPr/>
        <w:t>Supported senior VP with market comps, development feasibility, and</w:t>
      </w:r>
      <w:r>
        <w:rPr>
          <w:spacing w:val="40"/>
          <w:w w:val="110"/>
        </w:rPr>
        <w:t> </w:t>
      </w:r>
      <w:r>
        <w:rPr>
          <w:w w:val="110"/>
        </w:rPr>
        <w:t>project pro formas</w:t>
      </w:r>
    </w:p>
    <w:p>
      <w:pPr>
        <w:pStyle w:val="BodyText"/>
        <w:spacing w:line="362" w:lineRule="auto" w:before="89"/>
        <w:ind w:left="658" w:right="880"/>
      </w:pPr>
      <w:r>
        <w:rPr>
          <w:w w:val="105"/>
        </w:rPr>
        <w:t>Coordinated due diligence checklists and site inspections Modeled</w:t>
      </w:r>
      <w:r>
        <w:rPr>
          <w:spacing w:val="4"/>
          <w:w w:val="105"/>
        </w:rPr>
        <w:t> </w:t>
      </w:r>
      <w:r>
        <w:rPr>
          <w:w w:val="105"/>
        </w:rPr>
        <w:t>debt/equity</w:t>
      </w:r>
      <w:r>
        <w:rPr>
          <w:spacing w:val="-2"/>
          <w:w w:val="105"/>
        </w:rPr>
        <w:t> </w:t>
      </w:r>
      <w:r>
        <w:rPr>
          <w:w w:val="105"/>
        </w:rPr>
        <w:t>scenarios</w:t>
      </w:r>
      <w:r>
        <w:rPr>
          <w:spacing w:val="4"/>
          <w:w w:val="105"/>
        </w:rPr>
        <w:t> </w:t>
      </w:r>
      <w:r>
        <w:rPr>
          <w:w w:val="105"/>
        </w:rPr>
        <w:t>to</w:t>
      </w:r>
      <w:r>
        <w:rPr>
          <w:spacing w:val="5"/>
          <w:w w:val="105"/>
        </w:rPr>
        <w:t> </w:t>
      </w:r>
      <w:r>
        <w:rPr>
          <w:w w:val="105"/>
        </w:rPr>
        <w:t>optimize</w:t>
      </w:r>
      <w:r>
        <w:rPr>
          <w:spacing w:val="4"/>
          <w:w w:val="105"/>
        </w:rPr>
        <w:t> </w:t>
      </w:r>
      <w:r>
        <w:rPr>
          <w:w w:val="105"/>
        </w:rPr>
        <w:t>deal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structure</w:t>
      </w:r>
    </w:p>
    <w:p>
      <w:pPr>
        <w:pStyle w:val="BodyText"/>
        <w:spacing w:after="0" w:line="362" w:lineRule="auto"/>
        <w:sectPr>
          <w:type w:val="continuous"/>
          <w:pgSz w:w="11920" w:h="16860"/>
          <w:pgMar w:top="860" w:bottom="280" w:left="141" w:right="283"/>
          <w:cols w:num="2" w:equalWidth="0">
            <w:col w:w="3393" w:space="1034"/>
            <w:col w:w="7069"/>
          </w:cols>
        </w:sectPr>
      </w:pPr>
    </w:p>
    <w:p>
      <w:pPr>
        <w:pStyle w:val="BodyText"/>
        <w:spacing w:before="20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58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81275">
                                <a:moveTo>
                                  <a:pt x="7568183" y="2581274"/>
                                </a:moveTo>
                                <a:lnTo>
                                  <a:pt x="0" y="2581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81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581275"/>
                            <a:ext cx="4758690" cy="5781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781675">
                                <a:moveTo>
                                  <a:pt x="4758308" y="5781674"/>
                                </a:moveTo>
                                <a:lnTo>
                                  <a:pt x="0" y="57816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781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3800474"/>
                            <a:ext cx="47625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24050">
                                <a:moveTo>
                                  <a:pt x="47625" y="1896897"/>
                                </a:moveTo>
                                <a:lnTo>
                                  <a:pt x="27165" y="1876425"/>
                                </a:lnTo>
                                <a:lnTo>
                                  <a:pt x="20472" y="1876425"/>
                                </a:lnTo>
                                <a:lnTo>
                                  <a:pt x="0" y="1896897"/>
                                </a:lnTo>
                                <a:lnTo>
                                  <a:pt x="0" y="1900466"/>
                                </a:lnTo>
                                <a:lnTo>
                                  <a:pt x="0" y="1903590"/>
                                </a:lnTo>
                                <a:lnTo>
                                  <a:pt x="20472" y="1924050"/>
                                </a:lnTo>
                                <a:lnTo>
                                  <a:pt x="27165" y="1924050"/>
                                </a:lnTo>
                                <a:lnTo>
                                  <a:pt x="47625" y="1903590"/>
                                </a:lnTo>
                                <a:lnTo>
                                  <a:pt x="47625" y="1896897"/>
                                </a:lnTo>
                                <a:close/>
                              </a:path>
                              <a:path w="47625" h="1924050">
                                <a:moveTo>
                                  <a:pt x="47625" y="1692935"/>
                                </a:moveTo>
                                <a:lnTo>
                                  <a:pt x="31102" y="1676400"/>
                                </a:lnTo>
                                <a:lnTo>
                                  <a:pt x="16535" y="1676400"/>
                                </a:lnTo>
                                <a:lnTo>
                                  <a:pt x="0" y="1692935"/>
                                </a:lnTo>
                                <a:lnTo>
                                  <a:pt x="0" y="1695450"/>
                                </a:lnTo>
                                <a:lnTo>
                                  <a:pt x="0" y="1697977"/>
                                </a:lnTo>
                                <a:lnTo>
                                  <a:pt x="16535" y="1714500"/>
                                </a:lnTo>
                                <a:lnTo>
                                  <a:pt x="31102" y="1714500"/>
                                </a:lnTo>
                                <a:lnTo>
                                  <a:pt x="47625" y="1697977"/>
                                </a:lnTo>
                                <a:lnTo>
                                  <a:pt x="47625" y="1692935"/>
                                </a:lnTo>
                                <a:close/>
                              </a:path>
                              <a:path w="47625" h="1924050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47625" h="192405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9240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9240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867024"/>
                            <a:ext cx="2809875" cy="4333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333875">
                                <a:moveTo>
                                  <a:pt x="2809862" y="4114800"/>
                                </a:moveTo>
                                <a:lnTo>
                                  <a:pt x="0" y="4114800"/>
                                </a:lnTo>
                                <a:lnTo>
                                  <a:pt x="0" y="4333875"/>
                                </a:lnTo>
                                <a:lnTo>
                                  <a:pt x="2809862" y="4333875"/>
                                </a:lnTo>
                                <a:lnTo>
                                  <a:pt x="2809862" y="4114800"/>
                                </a:lnTo>
                                <a:close/>
                              </a:path>
                              <a:path w="2809875" h="4333875">
                                <a:moveTo>
                                  <a:pt x="2809862" y="1781175"/>
                                </a:moveTo>
                                <a:lnTo>
                                  <a:pt x="0" y="1781175"/>
                                </a:lnTo>
                                <a:lnTo>
                                  <a:pt x="0" y="2000250"/>
                                </a:lnTo>
                                <a:lnTo>
                                  <a:pt x="2809862" y="2000250"/>
                                </a:lnTo>
                                <a:lnTo>
                                  <a:pt x="2809862" y="1781175"/>
                                </a:lnTo>
                                <a:close/>
                              </a:path>
                              <a:path w="2809875" h="433387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50"/>
                                </a:lnTo>
                                <a:lnTo>
                                  <a:pt x="2809862" y="2095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0352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065" id="docshape3" filled="true" fillcolor="#789c2f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4065;width:7494;height:9105" id="docshape5" filled="true" fillcolor="#f5f5f5" stroked="false">
                  <v:fill type="solid"/>
                </v:rect>
                <v:shape style="position:absolute;left:4934;top:5985;width:75;height:3030" id="docshape6" coordorigin="4935,5985" coordsize="75,3030" path="m5010,8972l5009,8967,5005,8958,5003,8954,4996,8947,4992,8945,4983,8941,4978,8940,4967,8940,4962,8941,4953,8945,4949,8947,4942,8954,4940,8958,4936,8967,4935,8972,4935,8978,4935,8983,4936,8988,4940,8997,4942,9001,4949,9008,4953,9010,4962,9014,4967,9015,4978,9015,4983,9014,4992,9010,4996,9008,5003,9001,5005,8997,5009,8988,5010,8983,5010,8972xm5010,8651l5009,8647,5006,8640,5004,8637,4998,8631,4995,8629,4988,8626,4984,8625,4961,8625,4957,8626,4950,8629,4947,8631,4941,8637,4939,8640,4936,8647,4935,8651,4935,8655,4935,8659,4936,8663,4939,8670,4941,8673,4947,8679,4950,8681,4957,8684,4961,8685,4984,8685,4988,8684,4995,8681,4998,8679,5004,8673,5006,8670,5009,8663,5010,8659,5010,8651xm5010,8087l5009,8082,5005,8073,5003,8069,4996,8062,4992,8060,4983,8056,4978,8055,4967,8055,4962,8056,4953,8060,4949,8062,4942,8069,4940,8073,4936,8082,4935,8087,4935,8093,4935,8098,4936,8103,4940,8112,4942,8116,4949,8123,4953,8125,4962,8129,4967,8130,4978,8130,4983,8129,4992,8125,4996,8123,5003,8116,5005,8112,5009,8103,5010,8098,5010,8087xm5010,6662l5009,6657,5005,6648,5003,6644,4996,6637,4992,6635,4983,6631,4978,6630,4967,6630,4962,6631,4953,6635,4949,6637,4942,6644,4940,6648,4936,6657,4935,6662,4935,6668,4935,6673,4936,6678,4940,6687,4942,6691,4949,6698,4953,6700,4962,6704,4967,6705,4978,6705,4983,6704,4992,6700,4996,6698,5003,6691,5005,6687,5009,6678,5010,6673,5010,6662xm5010,6332l5009,6327,5005,6318,5003,6314,4996,6307,4992,6305,4983,6301,4978,6300,4967,6300,4962,6301,4953,6305,4949,6307,4942,6314,4940,6318,4936,6327,4935,6332,4935,6338,4935,6343,4936,6348,4940,6357,4942,6361,4949,6368,4953,6370,4962,6374,4967,6375,4978,6375,4983,6374,4992,6370,4996,6368,5003,6361,5005,6357,5009,6348,5010,6343,5010,6332xm5010,6017l5009,6012,5005,6003,5003,5999,4996,5992,4992,5990,4983,5986,4978,5985,4967,5985,4962,5986,4953,5990,4949,5992,4942,5999,4940,6003,4936,6012,4935,6017,4935,6023,4935,6028,4936,6033,4940,6042,4942,6046,4949,6053,4953,6055,4962,6059,4967,6060,4978,6060,4983,6059,4992,6055,4996,6053,5003,6046,5005,6042,5009,6033,5010,6028,5010,6017xe" filled="true" fillcolor="#000000" stroked="false">
                  <v:path arrowok="t"/>
                  <v:fill type="solid"/>
                </v:shape>
                <v:shape style="position:absolute;left:0;top:4515;width:4425;height:6825" id="docshape7" coordorigin="0,4515" coordsize="4425,6825" path="m4425,10995l0,10995,0,11340,4425,11340,4425,10995xm4425,7320l0,7320,0,7665,4425,7665,4425,7320xm4425,4515l0,4515,0,4845,4425,4845,4425,451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76" w:lineRule="auto" w:before="0"/>
        <w:ind w:left="435" w:right="7185"/>
      </w:pPr>
      <w:r>
        <w:rPr>
          <w:w w:val="105"/>
        </w:rPr>
        <w:t>Bachelor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3"/>
          <w:w w:val="105"/>
        </w:rPr>
        <w:t> </w:t>
      </w:r>
      <w:r>
        <w:rPr>
          <w:w w:val="105"/>
        </w:rPr>
        <w:t>Science in Real</w:t>
      </w:r>
      <w:r>
        <w:rPr>
          <w:spacing w:val="-6"/>
          <w:w w:val="105"/>
        </w:rPr>
        <w:t> </w:t>
      </w:r>
      <w:r>
        <w:rPr>
          <w:w w:val="105"/>
        </w:rPr>
        <w:t>Estate and Finance DePaul University</w:t>
      </w:r>
    </w:p>
    <w:p>
      <w:pPr>
        <w:pStyle w:val="BodyText"/>
        <w:spacing w:before="89"/>
        <w:ind w:left="435"/>
      </w:pPr>
      <w:r>
        <w:rPr>
          <w:w w:val="110"/>
        </w:rPr>
        <w:t>May</w:t>
      </w:r>
      <w:r>
        <w:rPr>
          <w:spacing w:val="-2"/>
          <w:w w:val="110"/>
        </w:rPr>
        <w:t> </w:t>
      </w:r>
      <w:r>
        <w:rPr>
          <w:spacing w:val="-4"/>
          <w:w w:val="110"/>
        </w:rPr>
        <w:t>2018</w:t>
      </w:r>
    </w:p>
    <w:sectPr>
      <w:type w:val="continuous"/>
      <w:pgSz w:w="11920" w:h="16860"/>
      <w:pgMar w:top="86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5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70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35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01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66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31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96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62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1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blakeallen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6.jpe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2026-02-15T13:00:18Z</dcterms:created>
  <dcterms:modified xsi:type="dcterms:W3CDTF">2026-02-15T13:00:18Z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