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8"/>
        <w:ind w:left="145" w:right="15" w:firstLine="0"/>
        <w:jc w:val="center"/>
        <w:rPr>
          <w:sz w:val="74"/>
        </w:rPr>
      </w:pPr>
      <w:r>
        <w:rPr>
          <w:b/>
          <w:color w:val="FFFFFF"/>
          <w:spacing w:val="12"/>
          <w:w w:val="130"/>
          <w:sz w:val="74"/>
        </w:rPr>
        <w:t>Jonathan</w:t>
      </w:r>
      <w:r>
        <w:rPr>
          <w:b/>
          <w:color w:val="FFFFFF"/>
          <w:spacing w:val="17"/>
          <w:w w:val="130"/>
          <w:sz w:val="74"/>
        </w:rPr>
        <w:t> </w:t>
      </w:r>
      <w:r>
        <w:rPr>
          <w:color w:val="FFFFFF"/>
          <w:spacing w:val="-2"/>
          <w:w w:val="130"/>
          <w:sz w:val="74"/>
        </w:rPr>
        <w:t>Hayes</w:t>
      </w:r>
    </w:p>
    <w:p>
      <w:pPr>
        <w:pStyle w:val="Heading1"/>
      </w:pPr>
      <w:r>
        <w:rPr>
          <w:color w:val="FFFFFF"/>
          <w:spacing w:val="-2"/>
          <w:w w:val="130"/>
        </w:rPr>
        <w:t>Investment</w:t>
      </w:r>
      <w:r>
        <w:rPr>
          <w:color w:val="FFFFFF"/>
          <w:spacing w:val="-8"/>
          <w:w w:val="130"/>
        </w:rPr>
        <w:t> </w:t>
      </w:r>
      <w:r>
        <w:rPr>
          <w:color w:val="FFFFFF"/>
          <w:spacing w:val="-2"/>
          <w:w w:val="130"/>
        </w:rPr>
        <w:t>Accountant</w:t>
      </w:r>
    </w:p>
    <w:p>
      <w:pPr>
        <w:spacing w:before="179"/>
        <w:ind w:left="590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Investment</w:t>
      </w:r>
      <w:r>
        <w:rPr>
          <w:b/>
          <w:color w:val="FFFFFF"/>
          <w:spacing w:val="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accountant</w:t>
      </w:r>
      <w:r>
        <w:rPr>
          <w:b/>
          <w:color w:val="FFFFFF"/>
          <w:spacing w:val="1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specializing</w:t>
      </w:r>
      <w:r>
        <w:rPr>
          <w:b/>
          <w:color w:val="FFFFFF"/>
          <w:spacing w:val="1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in</w:t>
      </w:r>
      <w:r>
        <w:rPr>
          <w:b/>
          <w:color w:val="FFFFFF"/>
          <w:spacing w:val="1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portfolio</w:t>
      </w:r>
      <w:r>
        <w:rPr>
          <w:b/>
          <w:color w:val="FFFFFF"/>
          <w:spacing w:val="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reconciliation</w:t>
      </w:r>
      <w:r>
        <w:rPr>
          <w:b/>
          <w:color w:val="FFFFFF"/>
          <w:spacing w:val="1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10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financial</w:t>
      </w:r>
      <w:r>
        <w:rPr>
          <w:b/>
          <w:color w:val="FFFFFF"/>
          <w:spacing w:val="10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reporting</w:t>
      </w:r>
    </w:p>
    <w:p>
      <w:pPr>
        <w:spacing w:line="259" w:lineRule="auto" w:before="15"/>
        <w:ind w:left="590" w:right="422" w:firstLine="0"/>
        <w:jc w:val="left"/>
        <w:rPr>
          <w:sz w:val="16"/>
        </w:rPr>
      </w:pPr>
      <w:r>
        <w:rPr>
          <w:color w:val="FFFFFF"/>
          <w:w w:val="125"/>
          <w:sz w:val="16"/>
        </w:rPr>
        <w:t>Investment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accountant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seven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managing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financial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transactions,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reconciling</w:t>
      </w:r>
      <w:r>
        <w:rPr>
          <w:color w:val="FFFFFF"/>
          <w:spacing w:val="35"/>
          <w:w w:val="125"/>
          <w:sz w:val="16"/>
        </w:rPr>
        <w:t> </w:t>
      </w:r>
      <w:r>
        <w:rPr>
          <w:color w:val="FFFFFF"/>
          <w:w w:val="125"/>
          <w:sz w:val="16"/>
        </w:rPr>
        <w:t>investment</w:t>
      </w:r>
      <w:r>
        <w:rPr>
          <w:color w:val="FFFFFF"/>
          <w:w w:val="125"/>
          <w:sz w:val="16"/>
        </w:rPr>
        <w:t> portfolios,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preparing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reports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for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asset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management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firms.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Skilled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analyzing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financial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data,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ensuring</w:t>
      </w:r>
      <w:r>
        <w:rPr>
          <w:color w:val="FFFFFF"/>
          <w:spacing w:val="27"/>
          <w:w w:val="125"/>
          <w:sz w:val="16"/>
        </w:rPr>
        <w:t> </w:t>
      </w:r>
      <w:r>
        <w:rPr>
          <w:color w:val="FFFFFF"/>
          <w:w w:val="125"/>
          <w:sz w:val="16"/>
        </w:rPr>
        <w:t>compliance with</w:t>
      </w:r>
      <w:r>
        <w:rPr>
          <w:color w:val="FFFFFF"/>
          <w:spacing w:val="18"/>
          <w:w w:val="125"/>
          <w:sz w:val="16"/>
        </w:rPr>
        <w:t> </w:t>
      </w:r>
      <w:r>
        <w:rPr>
          <w:color w:val="FFFFFF"/>
          <w:w w:val="125"/>
          <w:sz w:val="16"/>
        </w:rPr>
        <w:t>SEC</w:t>
      </w:r>
      <w:r>
        <w:rPr>
          <w:color w:val="FFFFFF"/>
          <w:spacing w:val="18"/>
          <w:w w:val="125"/>
          <w:sz w:val="16"/>
        </w:rPr>
        <w:t> </w:t>
      </w:r>
      <w:r>
        <w:rPr>
          <w:color w:val="FFFFFF"/>
          <w:w w:val="125"/>
          <w:sz w:val="16"/>
        </w:rPr>
        <w:t>regulations,</w:t>
      </w:r>
      <w:r>
        <w:rPr>
          <w:color w:val="FFFFFF"/>
          <w:spacing w:val="18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18"/>
          <w:w w:val="125"/>
          <w:sz w:val="16"/>
        </w:rPr>
        <w:t> </w:t>
      </w:r>
      <w:r>
        <w:rPr>
          <w:color w:val="FFFFFF"/>
          <w:w w:val="125"/>
          <w:sz w:val="16"/>
        </w:rPr>
        <w:t>optimizing</w:t>
      </w:r>
      <w:r>
        <w:rPr>
          <w:color w:val="FFFFFF"/>
          <w:spacing w:val="18"/>
          <w:w w:val="125"/>
          <w:sz w:val="16"/>
        </w:rPr>
        <w:t> </w:t>
      </w:r>
      <w:r>
        <w:rPr>
          <w:color w:val="FFFFFF"/>
          <w:w w:val="125"/>
          <w:sz w:val="16"/>
        </w:rPr>
        <w:t>reporting</w:t>
      </w:r>
      <w:r>
        <w:rPr>
          <w:color w:val="FFFFFF"/>
          <w:spacing w:val="18"/>
          <w:w w:val="125"/>
          <w:sz w:val="16"/>
        </w:rPr>
        <w:t> </w:t>
      </w:r>
      <w:r>
        <w:rPr>
          <w:color w:val="FFFFFF"/>
          <w:w w:val="125"/>
          <w:sz w:val="16"/>
        </w:rPr>
        <w:t>accuracy.</w:t>
      </w:r>
      <w:r>
        <w:rPr>
          <w:color w:val="FFFFFF"/>
          <w:spacing w:val="18"/>
          <w:w w:val="125"/>
          <w:sz w:val="16"/>
        </w:rPr>
        <w:t> </w:t>
      </w:r>
      <w:r>
        <w:rPr>
          <w:color w:val="FFFFFF"/>
          <w:w w:val="125"/>
          <w:sz w:val="16"/>
        </w:rPr>
        <w:t>Adept</w:t>
      </w:r>
      <w:r>
        <w:rPr>
          <w:color w:val="FFFFFF"/>
          <w:spacing w:val="18"/>
          <w:w w:val="125"/>
          <w:sz w:val="16"/>
        </w:rPr>
        <w:t> </w:t>
      </w:r>
      <w:r>
        <w:rPr>
          <w:color w:val="FFFFFF"/>
          <w:w w:val="125"/>
          <w:sz w:val="16"/>
        </w:rPr>
        <w:t>at</w:t>
      </w:r>
      <w:r>
        <w:rPr>
          <w:color w:val="FFFFFF"/>
          <w:spacing w:val="18"/>
          <w:w w:val="125"/>
          <w:sz w:val="16"/>
        </w:rPr>
        <w:t> </w:t>
      </w:r>
      <w:r>
        <w:rPr>
          <w:color w:val="FFFFFF"/>
          <w:w w:val="125"/>
          <w:sz w:val="16"/>
        </w:rPr>
        <w:t>working</w:t>
      </w:r>
      <w:r>
        <w:rPr>
          <w:color w:val="FFFFFF"/>
          <w:spacing w:val="18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18"/>
          <w:w w:val="125"/>
          <w:sz w:val="16"/>
        </w:rPr>
        <w:t> </w:t>
      </w:r>
      <w:r>
        <w:rPr>
          <w:color w:val="FFFFFF"/>
          <w:w w:val="125"/>
          <w:sz w:val="16"/>
        </w:rPr>
        <w:t>traders,</w:t>
      </w:r>
      <w:r>
        <w:rPr>
          <w:color w:val="FFFFFF"/>
          <w:spacing w:val="18"/>
          <w:w w:val="125"/>
          <w:sz w:val="16"/>
        </w:rPr>
        <w:t> </w:t>
      </w:r>
      <w:r>
        <w:rPr>
          <w:color w:val="FFFFFF"/>
          <w:w w:val="125"/>
          <w:sz w:val="16"/>
        </w:rPr>
        <w:t>portfolio</w:t>
      </w:r>
      <w:r>
        <w:rPr>
          <w:color w:val="FFFFFF"/>
          <w:spacing w:val="18"/>
          <w:w w:val="125"/>
          <w:sz w:val="16"/>
        </w:rPr>
        <w:t> </w:t>
      </w:r>
      <w:r>
        <w:rPr>
          <w:color w:val="FFFFFF"/>
          <w:w w:val="125"/>
          <w:sz w:val="16"/>
        </w:rPr>
        <w:t>managers,</w:t>
      </w:r>
      <w:r>
        <w:rPr>
          <w:color w:val="FFFFFF"/>
          <w:spacing w:val="18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18"/>
          <w:w w:val="125"/>
          <w:sz w:val="16"/>
        </w:rPr>
        <w:t> </w:t>
      </w:r>
      <w:r>
        <w:rPr>
          <w:color w:val="FFFFFF"/>
          <w:w w:val="125"/>
          <w:sz w:val="16"/>
        </w:rPr>
        <w:t>auditors to support sound investment decision-making.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39"/>
        <w:rPr>
          <w:sz w:val="22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B45E04"/>
          <w:w w:val="125"/>
        </w:rPr>
        <w:t>Personal</w:t>
      </w:r>
      <w:r>
        <w:rPr>
          <w:color w:val="B45E04"/>
          <w:spacing w:val="45"/>
          <w:w w:val="125"/>
        </w:rPr>
        <w:t> </w:t>
      </w:r>
      <w:r>
        <w:rPr>
          <w:color w:val="B45E04"/>
          <w:spacing w:val="-2"/>
          <w:w w:val="125"/>
        </w:rPr>
        <w:t>Information</w:t>
      </w:r>
      <w:r>
        <w:rPr>
          <w:color w:val="B45E04"/>
        </w:rPr>
        <w:tab/>
      </w:r>
      <w:r>
        <w:rPr>
          <w:w w:val="125"/>
          <w:position w:val="1"/>
        </w:rPr>
        <w:t>Professional</w:t>
      </w:r>
      <w:r>
        <w:rPr>
          <w:spacing w:val="41"/>
          <w:w w:val="125"/>
          <w:position w:val="1"/>
        </w:rPr>
        <w:t> </w:t>
      </w:r>
      <w:r>
        <w:rPr>
          <w:spacing w:val="-2"/>
          <w:w w:val="125"/>
          <w:position w:val="1"/>
        </w:rPr>
        <w:t>Experience</w:t>
      </w:r>
    </w:p>
    <w:p>
      <w:pPr>
        <w:pStyle w:val="BodyText"/>
        <w:spacing w:before="10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740" w:bottom="280" w:left="283" w:right="425"/>
        </w:sectPr>
      </w:pPr>
    </w:p>
    <w:p>
      <w:pPr>
        <w:pStyle w:val="BodyText"/>
        <w:spacing w:before="139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73154</wp:posOffset>
            </wp:positionV>
            <wp:extent cx="165348" cy="161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15"/>
        </w:rPr>
        <w:t>(123)</w:t>
      </w:r>
      <w:r>
        <w:rPr>
          <w:color w:val="424242"/>
          <w:spacing w:val="24"/>
          <w:w w:val="115"/>
        </w:rPr>
        <w:t> </w:t>
      </w:r>
      <w:r>
        <w:rPr>
          <w:color w:val="42424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line="252" w:lineRule="auto" w:before="107"/>
        <w:ind w:left="346" w:right="64"/>
      </w:pPr>
      <w:r>
        <w:rPr/>
        <w:br w:type="column"/>
      </w:r>
      <w:r>
        <w:rPr>
          <w:w w:val="125"/>
        </w:rPr>
        <w:t>INVESTMENT</w:t>
      </w:r>
      <w:r>
        <w:rPr>
          <w:spacing w:val="40"/>
          <w:w w:val="125"/>
        </w:rPr>
        <w:t> </w:t>
      </w:r>
      <w:r>
        <w:rPr>
          <w:w w:val="125"/>
        </w:rPr>
        <w:t>ACCOUNTANT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GLOBAL</w:t>
      </w:r>
      <w:r>
        <w:rPr>
          <w:spacing w:val="40"/>
          <w:w w:val="125"/>
        </w:rPr>
        <w:t> </w:t>
      </w:r>
      <w:r>
        <w:rPr>
          <w:w w:val="125"/>
        </w:rPr>
        <w:t>ASSET</w:t>
      </w:r>
      <w:r>
        <w:rPr>
          <w:spacing w:val="40"/>
          <w:w w:val="125"/>
        </w:rPr>
        <w:t> </w:t>
      </w:r>
      <w:r>
        <w:rPr>
          <w:w w:val="125"/>
        </w:rPr>
        <w:t>MANAGEMENT,</w:t>
      </w:r>
      <w:r>
        <w:rPr>
          <w:spacing w:val="40"/>
          <w:w w:val="125"/>
        </w:rPr>
        <w:t> </w:t>
      </w:r>
      <w:r>
        <w:rPr>
          <w:w w:val="125"/>
        </w:rPr>
        <w:t>NEW</w:t>
      </w:r>
      <w:r>
        <w:rPr>
          <w:spacing w:val="40"/>
          <w:w w:val="125"/>
        </w:rPr>
        <w:t> </w:t>
      </w:r>
      <w:r>
        <w:rPr>
          <w:w w:val="125"/>
        </w:rPr>
        <w:t>YORK,</w:t>
      </w:r>
      <w:r>
        <w:rPr>
          <w:spacing w:val="40"/>
          <w:w w:val="125"/>
        </w:rPr>
        <w:t> </w:t>
      </w:r>
      <w:r>
        <w:rPr>
          <w:w w:val="125"/>
        </w:rPr>
        <w:t>NY SEPTEMBER 2020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40" w:bottom="280" w:left="283" w:right="425"/>
          <w:cols w:num="2" w:equalWidth="0">
            <w:col w:w="2206" w:space="1181"/>
            <w:col w:w="7825"/>
          </w:cols>
        </w:sectPr>
      </w:pPr>
    </w:p>
    <w:p>
      <w:pPr>
        <w:pStyle w:val="BodyText"/>
        <w:spacing w:line="261" w:lineRule="auto" w:before="100"/>
        <w:ind w:left="795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400051</wp:posOffset>
            </wp:positionH>
            <wp:positionV relativeFrom="paragraph">
              <wp:posOffset>115429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25"/>
          </w:rPr>
          <w:t>jonathan.hayes@email.co</w:t>
        </w:r>
      </w:hyperlink>
      <w:r>
        <w:rPr>
          <w:color w:val="424242"/>
          <w:spacing w:val="-2"/>
          <w:w w:val="125"/>
        </w:rPr>
        <w:t> </w:t>
      </w:r>
      <w:r>
        <w:rPr>
          <w:color w:val="424242"/>
          <w:spacing w:val="-10"/>
          <w:w w:val="130"/>
        </w:rPr>
        <w:t>m</w:t>
      </w:r>
    </w:p>
    <w:p>
      <w:pPr>
        <w:pStyle w:val="BodyText"/>
        <w:spacing w:before="58"/>
      </w:pPr>
    </w:p>
    <w:p>
      <w:pPr>
        <w:pStyle w:val="BodyText"/>
        <w:ind w:left="346"/>
      </w:pPr>
      <w:r>
        <w:rPr>
          <w:position w:val="-5"/>
        </w:rPr>
        <w:drawing>
          <wp:inline distT="0" distB="0" distL="0" distR="0">
            <wp:extent cx="165334" cy="16192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25"/>
        </w:rPr>
        <w:t>New York, NY</w:t>
      </w:r>
    </w:p>
    <w:p>
      <w:pPr>
        <w:pStyle w:val="BodyText"/>
        <w:spacing w:before="65"/>
      </w:pPr>
    </w:p>
    <w:p>
      <w:pPr>
        <w:pStyle w:val="Heading2"/>
        <w:spacing w:before="1"/>
      </w:pPr>
      <w:r>
        <w:rPr>
          <w:color w:val="B45E04"/>
          <w:spacing w:val="-2"/>
          <w:w w:val="125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6" w:lineRule="auto" w:before="172" w:after="0"/>
        <w:ind w:left="349" w:right="523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Reconcile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investment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transactions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portfolio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holdings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funds totaling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$2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billion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assets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under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1" w:lineRule="auto" w:before="67" w:after="0"/>
        <w:ind w:left="349" w:right="205" w:hanging="298"/>
        <w:jc w:val="left"/>
        <w:rPr>
          <w:sz w:val="18"/>
        </w:rPr>
      </w:pPr>
      <w:r>
        <w:rPr>
          <w:w w:val="130"/>
          <w:sz w:val="18"/>
        </w:rPr>
        <w:t>Ensure compliance with GAAP and SEC reporting standards, reducing regulatory discrepancies by 25%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1" w:lineRule="auto" w:before="71" w:after="0"/>
        <w:ind w:left="349" w:right="206" w:hanging="298"/>
        <w:jc w:val="left"/>
        <w:rPr>
          <w:sz w:val="18"/>
        </w:rPr>
      </w:pPr>
      <w:r>
        <w:rPr>
          <w:w w:val="125"/>
          <w:sz w:val="18"/>
        </w:rPr>
        <w:t>Work with portfolio managers to analyze fund performance, providing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key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financial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insights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investment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decisions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425"/>
          <w:cols w:num="2" w:equalWidth="0">
            <w:col w:w="3258" w:space="666"/>
            <w:col w:w="7288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6" w:lineRule="auto" w:before="70" w:after="0"/>
        <w:ind w:left="646" w:right="165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686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86050">
                                <a:moveTo>
                                  <a:pt x="7568183" y="2686049"/>
                                </a:moveTo>
                                <a:lnTo>
                                  <a:pt x="0" y="26860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86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00299" y="2686049"/>
                            <a:ext cx="5168265" cy="585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857875">
                                <a:moveTo>
                                  <a:pt x="5167883" y="5857874"/>
                                </a:moveTo>
                                <a:lnTo>
                                  <a:pt x="0" y="58578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857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2160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4230" id="docshape3" filled="true" fillcolor="#424242" stroked="false">
                  <v:fill type="solid"/>
                </v:rect>
                <v:rect style="position:absolute;left:3780;top:4230;width:8139;height:9225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  <w:sz w:val="18"/>
        </w:rPr>
        <w:t>Bachelor of Science (B.S.) </w:t>
      </w:r>
      <w:r>
        <w:rPr>
          <w:spacing w:val="-2"/>
          <w:w w:val="125"/>
          <w:sz w:val="18"/>
        </w:rPr>
        <w:t>Accounting</w:t>
      </w:r>
    </w:p>
    <w:p>
      <w:pPr>
        <w:pStyle w:val="BodyText"/>
        <w:spacing w:before="90"/>
      </w:pPr>
    </w:p>
    <w:p>
      <w:pPr>
        <w:pStyle w:val="BodyText"/>
        <w:spacing w:line="261" w:lineRule="auto"/>
        <w:ind w:left="646" w:right="17"/>
      </w:pPr>
      <w:r>
        <w:rPr>
          <w:w w:val="115"/>
        </w:rPr>
        <w:t>Columbia University, New</w:t>
      </w:r>
      <w:r>
        <w:rPr>
          <w:spacing w:val="80"/>
          <w:w w:val="115"/>
        </w:rPr>
        <w:t> </w:t>
      </w:r>
      <w:r>
        <w:rPr>
          <w:w w:val="115"/>
        </w:rPr>
        <w:t>York, NY </w:t>
      </w:r>
      <w:r>
        <w:rPr/>
        <w:t>| </w:t>
      </w:r>
      <w:r>
        <w:rPr>
          <w:w w:val="115"/>
        </w:rPr>
        <w:t>2017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Heading2"/>
        <w:spacing w:before="1"/>
      </w:pPr>
      <w:r>
        <w:rPr>
          <w:color w:val="B45E04"/>
          <w:w w:val="125"/>
        </w:rPr>
        <w:t>Key</w:t>
      </w:r>
      <w:r>
        <w:rPr>
          <w:color w:val="B45E04"/>
          <w:spacing w:val="19"/>
          <w:w w:val="125"/>
        </w:rPr>
        <w:t> </w:t>
      </w:r>
      <w:r>
        <w:rPr>
          <w:color w:val="B45E04"/>
          <w:spacing w:val="-2"/>
          <w:w w:val="125"/>
        </w:rPr>
        <w:t>Skills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232" w:after="0"/>
        <w:ind w:left="646" w:right="197" w:hanging="298"/>
        <w:jc w:val="left"/>
        <w:rPr>
          <w:sz w:val="18"/>
        </w:rPr>
      </w:pPr>
      <w:r>
        <w:rPr>
          <w:w w:val="125"/>
          <w:sz w:val="18"/>
        </w:rPr>
        <w:t>Portfolio accounting and </w:t>
      </w:r>
      <w:r>
        <w:rPr>
          <w:spacing w:val="-2"/>
          <w:w w:val="125"/>
          <w:sz w:val="18"/>
        </w:rPr>
        <w:t>reconciliation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6" w:lineRule="auto" w:before="55" w:after="0"/>
        <w:ind w:left="646" w:right="192" w:hanging="298"/>
        <w:jc w:val="left"/>
        <w:rPr>
          <w:sz w:val="18"/>
        </w:rPr>
      </w:pPr>
      <w:r>
        <w:rPr>
          <w:w w:val="125"/>
          <w:sz w:val="18"/>
        </w:rPr>
        <w:t>Investment performance </w:t>
      </w:r>
      <w:r>
        <w:rPr>
          <w:spacing w:val="-2"/>
          <w:w w:val="12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0" w:after="0"/>
        <w:ind w:left="645" w:right="0" w:hanging="296"/>
        <w:jc w:val="left"/>
        <w:rPr>
          <w:sz w:val="18"/>
        </w:rPr>
      </w:pPr>
      <w:r>
        <w:rPr>
          <w:w w:val="130"/>
          <w:sz w:val="18"/>
        </w:rPr>
        <w:t>GAAP</w:t>
      </w:r>
      <w:r>
        <w:rPr>
          <w:spacing w:val="20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21"/>
          <w:w w:val="130"/>
          <w:sz w:val="18"/>
        </w:rPr>
        <w:t> </w:t>
      </w:r>
      <w:r>
        <w:rPr>
          <w:w w:val="130"/>
          <w:sz w:val="18"/>
        </w:rPr>
        <w:t>SEC</w:t>
      </w:r>
      <w:r>
        <w:rPr>
          <w:spacing w:val="20"/>
          <w:w w:val="130"/>
          <w:sz w:val="18"/>
        </w:rPr>
        <w:t> </w:t>
      </w:r>
      <w:r>
        <w:rPr>
          <w:spacing w:val="-2"/>
          <w:w w:val="130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6" w:lineRule="auto" w:before="13" w:after="0"/>
        <w:ind w:left="646" w:right="669" w:hanging="298"/>
        <w:jc w:val="left"/>
        <w:rPr>
          <w:sz w:val="18"/>
        </w:rPr>
      </w:pPr>
      <w:r>
        <w:rPr>
          <w:w w:val="125"/>
          <w:sz w:val="18"/>
        </w:rPr>
        <w:t>Financial statement </w:t>
      </w:r>
      <w:r>
        <w:rPr>
          <w:spacing w:val="-2"/>
          <w:w w:val="125"/>
          <w:sz w:val="18"/>
        </w:rPr>
        <w:t>preparation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6" w:lineRule="auto" w:before="36" w:after="0"/>
        <w:ind w:left="646" w:right="265" w:hanging="298"/>
        <w:jc w:val="left"/>
        <w:rPr>
          <w:sz w:val="18"/>
        </w:rPr>
      </w:pPr>
      <w:r>
        <w:rPr>
          <w:w w:val="130"/>
          <w:sz w:val="18"/>
        </w:rPr>
        <w:t>Hedge fund and mutual fund accounting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68" w:after="0"/>
        <w:ind w:left="646" w:right="589" w:hanging="298"/>
        <w:jc w:val="left"/>
        <w:rPr>
          <w:sz w:val="18"/>
        </w:rPr>
      </w:pPr>
      <w:r>
        <w:rPr>
          <w:w w:val="130"/>
          <w:sz w:val="18"/>
        </w:rPr>
        <w:t>Risk assessment and </w:t>
      </w:r>
      <w:r>
        <w:rPr>
          <w:spacing w:val="-2"/>
          <w:w w:val="130"/>
          <w:sz w:val="18"/>
        </w:rPr>
        <w:t>valuation</w:t>
      </w:r>
    </w:p>
    <w:p>
      <w:pPr>
        <w:pStyle w:val="BodyText"/>
        <w:spacing w:before="47"/>
      </w:pPr>
      <w:r>
        <w:rPr/>
        <w:br w:type="column"/>
      </w:r>
      <w:r>
        <w:rPr/>
      </w:r>
    </w:p>
    <w:p>
      <w:pPr>
        <w:pStyle w:val="BodyText"/>
        <w:spacing w:line="252" w:lineRule="auto"/>
        <w:ind w:left="51" w:right="69"/>
      </w:pPr>
      <w:r>
        <w:rPr>
          <w:w w:val="125"/>
        </w:rPr>
        <w:t>ACCOUNTING</w:t>
      </w:r>
      <w:r>
        <w:rPr>
          <w:spacing w:val="40"/>
          <w:w w:val="125"/>
        </w:rPr>
        <w:t> </w:t>
      </w:r>
      <w:r>
        <w:rPr>
          <w:w w:val="125"/>
        </w:rPr>
        <w:t>ASSOCIATE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MADISON</w:t>
      </w:r>
      <w:r>
        <w:rPr>
          <w:spacing w:val="40"/>
          <w:w w:val="125"/>
        </w:rPr>
        <w:t> </w:t>
      </w:r>
      <w:r>
        <w:rPr>
          <w:w w:val="125"/>
        </w:rPr>
        <w:t>CAPITAL</w:t>
      </w:r>
      <w:r>
        <w:rPr>
          <w:spacing w:val="40"/>
          <w:w w:val="125"/>
        </w:rPr>
        <w:t> </w:t>
      </w:r>
      <w:r>
        <w:rPr>
          <w:w w:val="125"/>
        </w:rPr>
        <w:t>ADVISORS,</w:t>
      </w:r>
      <w:r>
        <w:rPr>
          <w:spacing w:val="40"/>
          <w:w w:val="125"/>
        </w:rPr>
        <w:t> </w:t>
      </w:r>
      <w:r>
        <w:rPr>
          <w:w w:val="125"/>
        </w:rPr>
        <w:t>NEW</w:t>
      </w:r>
      <w:r>
        <w:rPr>
          <w:spacing w:val="40"/>
          <w:w w:val="125"/>
        </w:rPr>
        <w:t> </w:t>
      </w:r>
      <w:r>
        <w:rPr>
          <w:w w:val="125"/>
        </w:rPr>
        <w:t>YORK,</w:t>
      </w:r>
      <w:r>
        <w:rPr>
          <w:spacing w:val="40"/>
          <w:w w:val="125"/>
        </w:rPr>
        <w:t> </w:t>
      </w:r>
      <w:r>
        <w:rPr>
          <w:w w:val="125"/>
        </w:rPr>
        <w:t>NY JULY 2017 – SEPTEMBER 2020</w:t>
      </w: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216" w:lineRule="auto" w:before="187" w:after="0"/>
        <w:ind w:left="590" w:right="790" w:hanging="298"/>
        <w:jc w:val="left"/>
        <w:rPr>
          <w:sz w:val="18"/>
        </w:rPr>
      </w:pPr>
      <w:r>
        <w:rPr>
          <w:w w:val="125"/>
          <w:sz w:val="18"/>
        </w:rPr>
        <w:t>Assisted in preparing financial statements for investment funds,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improving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reporting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accuracy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efficiency</w:t>
      </w: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216" w:lineRule="auto" w:before="36" w:after="0"/>
        <w:ind w:left="590" w:right="434" w:hanging="298"/>
        <w:jc w:val="left"/>
        <w:rPr>
          <w:sz w:val="18"/>
        </w:rPr>
      </w:pPr>
      <w:r>
        <w:rPr>
          <w:w w:val="125"/>
          <w:sz w:val="18"/>
        </w:rPr>
        <w:t>Reviewed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trade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settlements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reconciled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discrepancies,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reducing errors in investment accounting by 20%</w:t>
      </w:r>
    </w:p>
    <w:p>
      <w:pPr>
        <w:pStyle w:val="ListParagraph"/>
        <w:numPr>
          <w:ilvl w:val="1"/>
          <w:numId w:val="1"/>
        </w:numPr>
        <w:tabs>
          <w:tab w:pos="588" w:val="left" w:leader="none"/>
          <w:tab w:pos="590" w:val="left" w:leader="none"/>
        </w:tabs>
        <w:spacing w:line="201" w:lineRule="auto" w:before="68" w:after="0"/>
        <w:ind w:left="590" w:right="790" w:hanging="298"/>
        <w:jc w:val="left"/>
        <w:rPr>
          <w:sz w:val="18"/>
        </w:rPr>
      </w:pPr>
      <w:r>
        <w:rPr>
          <w:w w:val="130"/>
          <w:sz w:val="18"/>
        </w:rPr>
        <w:t>Supported auditors by compiling financial records and ensuring compliance with industry regulations</w:t>
      </w:r>
    </w:p>
    <w:p>
      <w:pPr>
        <w:pStyle w:val="BodyText"/>
        <w:spacing w:before="55"/>
      </w:pPr>
    </w:p>
    <w:p>
      <w:pPr>
        <w:pStyle w:val="Heading2"/>
      </w:pPr>
      <w:r>
        <w:rPr>
          <w:spacing w:val="-2"/>
          <w:w w:val="125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240" w:lineRule="auto" w:before="176" w:after="0"/>
        <w:ind w:left="347" w:right="0" w:hanging="296"/>
        <w:jc w:val="left"/>
        <w:rPr>
          <w:sz w:val="18"/>
        </w:rPr>
      </w:pPr>
      <w:r>
        <w:rPr>
          <w:w w:val="120"/>
          <w:sz w:val="18"/>
        </w:rPr>
        <w:t>Chartered</w:t>
      </w:r>
      <w:r>
        <w:rPr>
          <w:spacing w:val="51"/>
          <w:w w:val="120"/>
          <w:sz w:val="18"/>
        </w:rPr>
        <w:t> </w:t>
      </w:r>
      <w:r>
        <w:rPr>
          <w:w w:val="120"/>
          <w:sz w:val="18"/>
        </w:rPr>
        <w:t>Financial</w:t>
      </w:r>
      <w:r>
        <w:rPr>
          <w:spacing w:val="52"/>
          <w:w w:val="120"/>
          <w:sz w:val="18"/>
        </w:rPr>
        <w:t> </w:t>
      </w:r>
      <w:r>
        <w:rPr>
          <w:w w:val="120"/>
          <w:sz w:val="18"/>
        </w:rPr>
        <w:t>Analyst</w:t>
      </w:r>
      <w:r>
        <w:rPr>
          <w:spacing w:val="52"/>
          <w:w w:val="120"/>
          <w:sz w:val="18"/>
        </w:rPr>
        <w:t> </w:t>
      </w:r>
      <w:r>
        <w:rPr>
          <w:w w:val="120"/>
          <w:sz w:val="18"/>
        </w:rPr>
        <w:t>(CFA)</w:t>
      </w:r>
      <w:r>
        <w:rPr>
          <w:spacing w:val="52"/>
          <w:w w:val="120"/>
          <w:sz w:val="18"/>
        </w:rPr>
        <w:t> </w:t>
      </w:r>
      <w:r>
        <w:rPr>
          <w:w w:val="120"/>
          <w:sz w:val="18"/>
        </w:rPr>
        <w:t>Level</w:t>
      </w:r>
      <w:r>
        <w:rPr>
          <w:spacing w:val="51"/>
          <w:w w:val="120"/>
          <w:sz w:val="18"/>
        </w:rPr>
        <w:t> </w:t>
      </w:r>
      <w:r>
        <w:rPr>
          <w:w w:val="120"/>
          <w:sz w:val="18"/>
        </w:rPr>
        <w:t>II</w:t>
      </w:r>
      <w:r>
        <w:rPr>
          <w:spacing w:val="52"/>
          <w:w w:val="120"/>
          <w:sz w:val="18"/>
        </w:rPr>
        <w:t> </w:t>
      </w:r>
      <w:r>
        <w:rPr>
          <w:w w:val="120"/>
          <w:sz w:val="18"/>
        </w:rPr>
        <w:t>Candidate</w:t>
      </w:r>
      <w:r>
        <w:rPr>
          <w:spacing w:val="52"/>
          <w:w w:val="120"/>
          <w:sz w:val="18"/>
        </w:rPr>
        <w:t> </w:t>
      </w:r>
      <w:r>
        <w:rPr>
          <w:sz w:val="18"/>
        </w:rPr>
        <w:t>|</w:t>
      </w:r>
      <w:r>
        <w:rPr>
          <w:spacing w:val="52"/>
          <w:w w:val="120"/>
          <w:sz w:val="18"/>
        </w:rPr>
        <w:t> </w:t>
      </w:r>
      <w:r>
        <w:rPr>
          <w:spacing w:val="-4"/>
          <w:w w:val="120"/>
          <w:sz w:val="18"/>
        </w:rPr>
        <w:t>2020</w:t>
      </w:r>
    </w:p>
    <w:sectPr>
      <w:type w:val="continuous"/>
      <w:pgSz w:w="11920" w:h="16860"/>
      <w:pgMar w:top="740" w:bottom="280" w:left="283" w:right="425"/>
      <w:cols w:num="2" w:equalWidth="0">
        <w:col w:w="3247" w:space="436"/>
        <w:col w:w="75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9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3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8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6"/>
      <w:ind w:left="145"/>
      <w:jc w:val="center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36"/>
      <w:ind w:left="646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jonathan.hayes@email.co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2026-02-20T12:20:13Z</dcterms:created>
  <dcterms:modified xsi:type="dcterms:W3CDTF">2026-02-20T12:20:13Z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