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3939" w:right="0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-4"/>
          <w:sz w:val="74"/>
        </w:rPr>
        <w:t>Lauren</w:t>
      </w:r>
      <w:r>
        <w:rPr>
          <w:rFonts w:ascii="Trebuchet MS"/>
          <w:b/>
          <w:color w:val="FFFFFF"/>
          <w:spacing w:val="-42"/>
          <w:sz w:val="74"/>
        </w:rPr>
        <w:t> </w:t>
      </w:r>
      <w:r>
        <w:rPr>
          <w:rFonts w:ascii="Trebuchet MS"/>
          <w:color w:val="FFFFFF"/>
          <w:spacing w:val="8"/>
          <w:sz w:val="74"/>
        </w:rPr>
        <w:t>Mitchell</w:t>
      </w:r>
    </w:p>
    <w:p>
      <w:pPr>
        <w:pStyle w:val="Heading2"/>
        <w:rPr>
          <w:rFonts w:ascii="Trebuchet MS"/>
        </w:rPr>
      </w:pPr>
      <w:r>
        <w:rPr>
          <w:rFonts w:ascii="Trebuchet MS"/>
          <w:color w:val="FFFFFF"/>
        </w:rPr>
        <w:t>Fixed</w:t>
      </w:r>
      <w:r>
        <w:rPr>
          <w:rFonts w:ascii="Trebuchet MS"/>
          <w:color w:val="FFFFFF"/>
          <w:spacing w:val="19"/>
        </w:rPr>
        <w:t> </w:t>
      </w:r>
      <w:r>
        <w:rPr>
          <w:rFonts w:ascii="Trebuchet MS"/>
          <w:color w:val="FFFFFF"/>
        </w:rPr>
        <w:t>Asset</w:t>
      </w:r>
      <w:r>
        <w:rPr>
          <w:rFonts w:ascii="Trebuchet MS"/>
          <w:color w:val="FFFFFF"/>
          <w:spacing w:val="19"/>
        </w:rPr>
        <w:t> </w:t>
      </w:r>
      <w:r>
        <w:rPr>
          <w:rFonts w:ascii="Trebuchet MS"/>
          <w:color w:val="FFFFFF"/>
          <w:spacing w:val="-2"/>
        </w:rPr>
        <w:t>Accountant</w:t>
      </w:r>
    </w:p>
    <w:p>
      <w:pPr>
        <w:spacing w:line="261" w:lineRule="auto" w:before="136"/>
        <w:ind w:left="4294" w:right="155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Fixed asset accountant specializing in asset management and financial </w:t>
      </w:r>
      <w:r>
        <w:rPr>
          <w:b/>
          <w:color w:val="FFFFFF"/>
          <w:spacing w:val="-2"/>
          <w:w w:val="105"/>
          <w:sz w:val="18"/>
        </w:rPr>
        <w:t>reporting</w:t>
      </w:r>
    </w:p>
    <w:p>
      <w:pPr>
        <w:pStyle w:val="BodyText"/>
        <w:spacing w:line="268" w:lineRule="auto" w:before="119"/>
        <w:ind w:left="4294" w:right="155"/>
        <w:jc w:val="center"/>
      </w:pPr>
      <w:r>
        <w:rPr>
          <w:color w:val="FFFFFF"/>
          <w:w w:val="105"/>
        </w:rPr>
        <w:t>Fixed asset accountant with seven years of experience tracking, valuing, and reporting company assets for mid-sized and large enterprises. Skilled in depreciation calculations, capital expenditure analysis, and asset reconciliation.</w:t>
      </w:r>
    </w:p>
    <w:p>
      <w:pPr>
        <w:pStyle w:val="BodyText"/>
        <w:spacing w:line="278" w:lineRule="auto" w:before="9"/>
        <w:ind w:left="4294" w:right="155"/>
        <w:jc w:val="center"/>
      </w:pPr>
      <w:r>
        <w:rPr>
          <w:color w:val="FFFFFF"/>
          <w:w w:val="105"/>
        </w:rPr>
        <w:t>Adept at ensuring compliance with GAAP and tax regulations while optimizing asset management strategies.</w:t>
      </w: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0"/>
      </w:pPr>
      <w:r>
        <w:rPr>
          <w:smallCaps/>
          <w:color w:val="134E5C"/>
          <w:w w:val="110"/>
        </w:rPr>
        <w:t>Personal</w:t>
      </w:r>
      <w:r>
        <w:rPr>
          <w:smallCaps/>
          <w:color w:val="134E5C"/>
          <w:spacing w:val="2"/>
          <w:w w:val="110"/>
        </w:rPr>
        <w:t> </w:t>
      </w:r>
      <w:r>
        <w:rPr>
          <w:smallCaps/>
          <w:color w:val="134E5C"/>
          <w:spacing w:val="-2"/>
          <w:w w:val="110"/>
        </w:rPr>
        <w:t>information</w:t>
      </w:r>
    </w:p>
    <w:p>
      <w:pPr>
        <w:pStyle w:val="BodyText"/>
        <w:spacing w:before="39"/>
        <w:rPr>
          <w:rFonts w:ascii="Trebuchet MS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00"/>
      </w:pPr>
      <w:r>
        <w:rPr/>
        <w:br w:type="column"/>
      </w:r>
      <w:r>
        <w:rPr>
          <w:smallCaps/>
          <w:color w:val="134E5C"/>
          <w:spacing w:val="2"/>
          <w:w w:val="110"/>
        </w:rPr>
        <w:t>Professional</w:t>
      </w:r>
      <w:r>
        <w:rPr>
          <w:smallCaps/>
          <w:color w:val="134E5C"/>
          <w:spacing w:val="26"/>
          <w:w w:val="110"/>
        </w:rPr>
        <w:t> </w:t>
      </w:r>
      <w:r>
        <w:rPr>
          <w:smallCaps/>
          <w:color w:val="134E5C"/>
          <w:spacing w:val="-2"/>
          <w:w w:val="110"/>
        </w:rPr>
        <w:t>experience</w:t>
      </w:r>
    </w:p>
    <w:p>
      <w:pPr>
        <w:pStyle w:val="BodyText"/>
        <w:spacing w:line="261" w:lineRule="auto" w:before="128"/>
        <w:ind w:left="120" w:right="1235"/>
      </w:pPr>
      <w:r>
        <w:rPr>
          <w:color w:val="134E5C"/>
        </w:rPr>
        <w:t>Fixed</w:t>
      </w:r>
      <w:r>
        <w:rPr>
          <w:color w:val="134E5C"/>
          <w:spacing w:val="40"/>
        </w:rPr>
        <w:t> </w:t>
      </w:r>
      <w:r>
        <w:rPr>
          <w:color w:val="134E5C"/>
        </w:rPr>
        <w:t>Asset</w:t>
      </w:r>
      <w:r>
        <w:rPr>
          <w:color w:val="134E5C"/>
          <w:spacing w:val="40"/>
        </w:rPr>
        <w:t> </w:t>
      </w:r>
      <w:r>
        <w:rPr>
          <w:color w:val="134E5C"/>
        </w:rPr>
        <w:t>Accountant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Northwest</w:t>
      </w:r>
      <w:r>
        <w:rPr>
          <w:spacing w:val="40"/>
        </w:rPr>
        <w:t> </w:t>
      </w:r>
      <w:r>
        <w:rPr/>
        <w:t>Energy</w:t>
      </w:r>
      <w:r>
        <w:rPr>
          <w:spacing w:val="40"/>
        </w:rPr>
        <w:t> </w:t>
      </w:r>
      <w:r>
        <w:rPr/>
        <w:t>Solutions,</w:t>
      </w:r>
      <w:r>
        <w:rPr>
          <w:spacing w:val="40"/>
        </w:rPr>
        <w:t> </w:t>
      </w:r>
      <w:r>
        <w:rPr/>
        <w:t>Seattle,</w:t>
      </w:r>
      <w:r>
        <w:rPr>
          <w:spacing w:val="40"/>
        </w:rPr>
        <w:t> </w:t>
      </w:r>
      <w:r>
        <w:rPr/>
        <w:t>WA June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385" w:space="1614"/>
            <w:col w:w="7355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73" w:lineRule="auto" w:before="75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466987"/>
                            <a:ext cx="5079365" cy="8237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237855">
                                <a:moveTo>
                                  <a:pt x="5078984" y="284162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1625"/>
                                </a:lnTo>
                                <a:lnTo>
                                  <a:pt x="0" y="2930525"/>
                                </a:lnTo>
                                <a:lnTo>
                                  <a:pt x="0" y="8237588"/>
                                </a:lnTo>
                                <a:lnTo>
                                  <a:pt x="5078984" y="8237588"/>
                                </a:lnTo>
                                <a:lnTo>
                                  <a:pt x="5078984" y="2841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83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314324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7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4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7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8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7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30"/>
                                </a:lnTo>
                                <a:lnTo>
                                  <a:pt x="1832556" y="1317511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8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8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7"/>
                                </a:lnTo>
                                <a:lnTo>
                                  <a:pt x="812040" y="1894699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4"/>
                                </a:lnTo>
                                <a:lnTo>
                                  <a:pt x="160387" y="1482044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1"/>
                                </a:lnTo>
                                <a:lnTo>
                                  <a:pt x="55631" y="1273930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7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8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4174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9813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2956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619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381374"/>
                            <a:ext cx="273367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648075">
                                <a:moveTo>
                                  <a:pt x="47625" y="3620922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22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22"/>
                                </a:lnTo>
                                <a:close/>
                              </a:path>
                              <a:path w="2733675" h="3648075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2733675" h="3648075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2733675" h="364807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2733675" h="364807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2733675" h="36480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2733675" h="3648075">
                                <a:moveTo>
                                  <a:pt x="2428875" y="3049422"/>
                                </a:moveTo>
                                <a:lnTo>
                                  <a:pt x="2408415" y="3028950"/>
                                </a:lnTo>
                                <a:lnTo>
                                  <a:pt x="2401722" y="3028950"/>
                                </a:lnTo>
                                <a:lnTo>
                                  <a:pt x="2381250" y="3049422"/>
                                </a:lnTo>
                                <a:lnTo>
                                  <a:pt x="2381250" y="3052991"/>
                                </a:lnTo>
                                <a:lnTo>
                                  <a:pt x="2381250" y="3056115"/>
                                </a:lnTo>
                                <a:lnTo>
                                  <a:pt x="2401722" y="3076575"/>
                                </a:lnTo>
                                <a:lnTo>
                                  <a:pt x="2408415" y="3076575"/>
                                </a:lnTo>
                                <a:lnTo>
                                  <a:pt x="2428875" y="3056115"/>
                                </a:lnTo>
                                <a:lnTo>
                                  <a:pt x="2428875" y="3049422"/>
                                </a:lnTo>
                                <a:close/>
                              </a:path>
                              <a:path w="2733675" h="3648075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64807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64807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64807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64807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6480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shape style="position:absolute;left:3920;top:3885;width:7999;height:12973" id="docshape2" coordorigin="3920,3885" coordsize="7999,12973" path="m11918,8360l11918,3885,3930,3885,3920,388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885" id="docshape3" filled="true" fillcolor="#df6665" stroked="false">
                  <v:fill type="solid"/>
                </v:rect>
                <v:shape style="position:absolute;left:435;top:495;width:3000;height:3000" id="docshape4" coordorigin="435,495" coordsize="3000,3000" path="m435,1996l435,1994,435,1975,438,1902,444,1829,454,1756,467,1683,484,1612,505,1541,529,1472,556,1403,587,1336,621,1271,658,1208,698,1146,741,1086,787,1029,836,974,887,921,941,871,997,824,1056,779,1116,737,1179,699,1243,663,1310,631,1377,602,1446,577,1516,554,1587,536,1659,520,1732,509,1805,501,1879,496,1934,495,1936,495,2010,497,2083,502,2156,511,2229,524,2300,540,2371,560,2441,583,2510,609,2577,639,2643,672,2707,708,2769,748,2829,790,2887,835,2943,883,2996,934,3047,987,3095,1043,3140,1101,3182,1161,3222,1223,3258,1287,3291,1353,3321,1420,3347,1489,3370,1559,3390,1630,3406,1701,3419,1774,3428,1847,3433,1920,3435,1994,3435,1996,3433,2070,3428,2143,3419,2216,3406,2289,3390,2360,3370,2431,3347,2501,3321,2570,3291,2637,3258,2703,3222,2767,3182,2829,3140,2889,3095,2947,3047,3003,2996,3056,2943,3107,2887,3155,2829,3200,2769,3242,2707,3282,2643,3318,2577,3351,2510,3381,2441,3407,2371,3430,2300,3450,2229,3466,2156,3479,2083,3488,2010,3493,1936,3495,1934,3495,1860,3493,1787,3488,1714,3479,1641,3466,1570,3450,1499,3430,1429,3407,1360,3381,1293,3351,1227,3318,1163,3282,1101,3242,1041,3200,983,3155,927,3107,874,3056,823,3003,775,2947,730,2889,688,2829,648,2767,612,2703,579,2637,549,2570,523,2501,500,2431,480,2360,464,2289,451,2216,442,2143,437,2070,435,1996xe" filled="false" stroked="true" strokeweight="4.5pt" strokecolor="#ffffff">
                  <v:path arrowok="t"/>
                  <v:stroke dashstyle="solid"/>
                </v:shape>
                <v:shape style="position:absolute;left:525;top:605;width:2820;height:2800" type="#_x0000_t75" id="docshape5" stroked="false">
                  <v:imagedata r:id="rId5" o:title=""/>
                </v:shape>
                <v:shape style="position:absolute;left:510;top:4695;width:317;height:317" type="#_x0000_t75" id="docshape6" stroked="false">
                  <v:imagedata r:id="rId6" o:title=""/>
                </v:shape>
                <v:shape style="position:absolute;left:530;top:5190;width:275;height:317" type="#_x0000_t75" id="docshape7" stroked="false">
                  <v:imagedata r:id="rId7" o:title=""/>
                </v:shape>
                <v:shape style="position:absolute;left:511;top:5700;width:315;height:317" type="#_x0000_t75" id="docshape8" stroked="false">
                  <v:imagedata r:id="rId8" o:title=""/>
                </v:shape>
                <v:shape style="position:absolute;left:509;top:5325;width:4305;height:5745" id="docshape9" coordorigin="510,5325" coordsize="4305,5745" path="m585,11027l584,11022,580,11013,578,11009,571,11002,567,11000,558,10996,553,10995,542,10995,537,10996,528,11000,524,11002,517,11009,515,11013,511,11022,510,11027,510,11033,510,11038,511,11043,515,11052,517,11056,524,11063,528,11065,537,11069,542,11070,553,11070,558,11069,567,11065,571,11063,578,11056,580,11052,584,11043,585,11038,585,11027xm585,10457l584,10452,580,10443,578,10439,571,10432,567,10430,558,10426,553,10425,542,10425,537,10426,528,10430,524,10432,517,10439,515,10443,511,10452,510,10457,510,10463,510,10468,511,10473,515,10482,517,10486,524,10493,528,10495,537,10499,542,10500,553,10500,558,10499,567,10495,571,10493,578,10486,580,10482,584,10473,585,10468,585,10457xm585,9902l584,9897,580,9888,578,9884,571,9877,567,9875,558,9871,553,9870,542,9870,537,9871,528,9875,524,9877,517,9884,515,9888,511,9897,510,9902,510,9908,510,9913,511,9918,515,9927,517,9931,524,9938,528,9940,537,9944,542,9945,553,9945,558,9944,567,9940,571,9938,578,9931,580,9927,584,9918,585,9913,585,9902xm585,9347l584,9342,580,9333,578,9329,571,9322,567,9320,558,9316,553,9315,542,9315,537,9316,528,9320,524,9322,517,9329,515,9333,511,9342,510,9347,510,9353,510,9358,511,9363,515,9372,517,9376,524,9383,528,9385,537,9389,542,9390,553,9390,558,9389,567,9385,571,9383,578,9376,580,9372,584,9363,585,9358,585,9347xm585,9017l584,9012,580,9003,578,8999,571,8992,567,8990,558,8986,553,8985,542,8985,537,8986,528,8990,524,8992,517,8999,515,9003,511,9012,510,9017,510,9023,510,9028,511,9033,515,9042,517,9046,524,9053,528,9055,537,9059,542,9060,553,9060,558,9059,567,9055,571,9053,578,9046,580,9042,584,9033,585,9028,585,9017xm585,8462l584,8457,580,8448,578,8444,571,8437,567,8435,558,8431,553,8430,542,8430,537,8431,528,8435,524,8437,517,8444,515,8448,511,8457,510,8462,510,8468,510,8473,511,8478,515,8487,517,8491,524,8498,528,8500,537,8504,542,8505,553,8505,558,8504,567,8500,571,8498,578,8491,580,8487,584,8478,585,8473,585,8462xm4335,10127l4334,10122,4330,10113,4328,10109,4321,10102,4317,10100,4308,10096,4303,10095,4292,10095,4287,10096,4278,10100,4274,10102,4267,10109,4265,10113,4261,10122,4260,10127,4260,10133,4260,10138,4261,10143,4265,10152,4267,10156,4274,10163,4278,10165,4287,10169,4292,10170,4303,10170,4308,10169,4317,10165,4321,10163,4328,10156,4330,10152,4334,10143,4335,10138,4335,10127xm4815,9002l4814,8997,4810,8988,4808,8984,4801,8977,4797,8975,4788,8971,4783,8970,4772,8970,4767,8971,4758,8975,4754,8977,4747,8984,4745,8988,4741,8997,4740,9002,4740,9008,4740,9013,4741,9018,4745,9027,4747,9031,4754,9038,4758,9040,4767,9044,4772,9045,4783,9045,4788,9044,4797,9040,4801,9038,4808,9031,4810,9027,4814,9018,4815,9013,4815,9002xm4815,8432l4814,8427,4810,8418,4808,8414,4801,8407,4797,8405,4788,8401,4783,8400,4772,8400,4767,8401,4758,8405,4754,8407,4747,8414,4745,8418,4741,8427,4740,8432,4740,8438,4740,8443,4741,8448,4745,8457,4747,8461,4754,8468,4758,8470,4767,8474,4772,8475,4783,8475,4788,8474,4797,8470,4801,8468,4808,8461,4810,8457,4814,8448,4815,8443,4815,8432xm4815,7877l4814,7872,4810,7863,4808,7859,4801,7852,4797,7850,4788,7846,4783,7845,4772,7845,4767,7846,4758,7850,4754,7852,4747,7859,4745,7863,4741,7872,4740,7877,4740,7883,4740,7888,4741,7893,4745,7902,4747,7906,4754,7913,4758,7915,4767,7919,4772,7920,4783,7920,4788,7919,4797,7915,4801,7913,4808,7906,4810,7902,4814,7893,4815,7888,4815,7877xm4815,6482l4814,6477,4810,6468,4808,6464,4801,6457,4797,6455,4788,6451,4783,6450,4772,6450,4767,6451,4758,6455,4754,6457,4747,6464,4745,6468,4741,6477,4740,6482,4740,6488,4740,6493,4741,6498,4745,6507,4747,6511,4754,6518,4758,6520,4767,6524,4772,6525,4783,6525,4788,6524,4797,6520,4801,6518,4808,6511,4810,6507,4814,6498,4815,6493,4815,6482xm4815,5912l4814,5907,4810,5898,4808,5894,4801,5887,4797,5885,4788,5881,4783,5880,4772,5880,4767,5881,4758,5885,4754,5887,4747,5894,4745,5898,4741,5907,4740,5912,4740,5918,4740,5923,4741,5928,4745,5937,4747,5941,4754,5948,4758,5950,4767,5954,4772,5955,4783,5955,4788,5954,4797,5950,4801,5948,4808,5941,4810,5937,4814,5928,4815,5923,4815,5912xm4815,5357l4814,5352,4810,5343,4808,5339,4801,5332,4797,5330,4788,5326,4783,5325,4772,5325,4767,5326,4758,5330,4754,5332,4747,5339,4745,5343,4741,5352,4740,5357,4740,5363,4740,5368,4741,5373,4745,5382,4747,5386,4754,5393,4758,5395,4767,5399,4772,5400,4783,5400,4788,5399,4797,5395,4801,5393,4808,5386,4810,5382,4814,5373,4815,5368,4815,53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lauren.mitchell@email.com</w:t>
        </w:r>
      </w:hyperlink>
      <w:r>
        <w:rPr>
          <w:spacing w:val="-2"/>
        </w:rPr>
        <w:t> </w:t>
      </w:r>
      <w:r>
        <w:rPr/>
        <w:t>Seattle, WA</w:t>
      </w:r>
    </w:p>
    <w:p>
      <w:pPr>
        <w:pStyle w:val="Heading1"/>
        <w:spacing w:before="23"/>
      </w:pPr>
      <w:r>
        <w:rPr>
          <w:smallCaps/>
          <w:color w:val="134E5C"/>
          <w:spacing w:val="-2"/>
          <w:w w:val="110"/>
        </w:rPr>
        <w:t>Education</w:t>
      </w:r>
    </w:p>
    <w:p>
      <w:pPr>
        <w:pStyle w:val="BodyText"/>
        <w:spacing w:before="8"/>
        <w:rPr>
          <w:rFonts w:ascii="Trebuchet MS"/>
        </w:rPr>
      </w:pPr>
    </w:p>
    <w:p>
      <w:pPr>
        <w:pStyle w:val="BodyText"/>
        <w:spacing w:line="261" w:lineRule="auto"/>
        <w:ind w:left="362" w:right="949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(B.S.) </w:t>
      </w:r>
      <w:r>
        <w:rPr>
          <w:color w:val="134E5C"/>
          <w:spacing w:val="-2"/>
          <w:w w:val="105"/>
        </w:rPr>
        <w:t>Accounting</w:t>
      </w:r>
    </w:p>
    <w:p>
      <w:pPr>
        <w:pStyle w:val="BodyText"/>
        <w:spacing w:before="14"/>
        <w:ind w:left="362"/>
      </w:pPr>
      <w:r>
        <w:rPr/>
        <w:t>University</w:t>
      </w:r>
      <w:r>
        <w:rPr>
          <w:spacing w:val="9"/>
        </w:rPr>
        <w:t> </w:t>
      </w:r>
      <w:r>
        <w:rPr/>
        <w:t>of</w:t>
      </w:r>
      <w:r>
        <w:rPr>
          <w:spacing w:val="9"/>
        </w:rPr>
        <w:t> </w:t>
      </w:r>
      <w:r>
        <w:rPr/>
        <w:t>Washington,</w:t>
      </w:r>
      <w:r>
        <w:rPr>
          <w:spacing w:val="9"/>
        </w:rPr>
        <w:t> </w:t>
      </w:r>
      <w:r>
        <w:rPr/>
        <w:t>Seattle,</w:t>
      </w:r>
      <w:r>
        <w:rPr>
          <w:spacing w:val="9"/>
        </w:rPr>
        <w:t> </w:t>
      </w:r>
      <w:r>
        <w:rPr>
          <w:spacing w:val="-5"/>
        </w:rPr>
        <w:t>WA</w:t>
      </w:r>
    </w:p>
    <w:p>
      <w:pPr>
        <w:pStyle w:val="BodyText"/>
        <w:spacing w:before="18"/>
        <w:ind w:left="362"/>
      </w:pPr>
      <w:r>
        <w:rPr/>
        <w:t>|</w:t>
      </w:r>
      <w:r>
        <w:rPr>
          <w:spacing w:val="-5"/>
        </w:rPr>
        <w:t> </w:t>
      </w:r>
      <w:r>
        <w:rPr>
          <w:spacing w:val="-4"/>
        </w:rPr>
        <w:t>2017</w:t>
      </w:r>
    </w:p>
    <w:p>
      <w:pPr>
        <w:pStyle w:val="BodyText"/>
        <w:spacing w:before="58"/>
      </w:pPr>
    </w:p>
    <w:p>
      <w:pPr>
        <w:pStyle w:val="Heading1"/>
      </w:pPr>
      <w:r>
        <w:rPr>
          <w:smallCaps/>
          <w:color w:val="134E5C"/>
          <w:w w:val="105"/>
        </w:rPr>
        <w:t>Key</w:t>
      </w:r>
      <w:r>
        <w:rPr>
          <w:smallCaps/>
          <w:color w:val="134E5C"/>
          <w:spacing w:val="-1"/>
          <w:w w:val="105"/>
        </w:rPr>
        <w:t> </w:t>
      </w:r>
      <w:r>
        <w:rPr>
          <w:smallCaps/>
          <w:color w:val="134E5C"/>
          <w:spacing w:val="-2"/>
          <w:w w:val="110"/>
        </w:rPr>
        <w:t>skills</w:t>
      </w:r>
    </w:p>
    <w:p>
      <w:pPr>
        <w:pStyle w:val="BodyText"/>
        <w:spacing w:before="8"/>
        <w:rPr>
          <w:rFonts w:ascii="Trebuchet MS"/>
        </w:rPr>
      </w:pPr>
    </w:p>
    <w:p>
      <w:pPr>
        <w:pStyle w:val="BodyText"/>
        <w:spacing w:line="261" w:lineRule="auto" w:before="1"/>
        <w:ind w:left="659"/>
      </w:pPr>
      <w:r>
        <w:rPr>
          <w:w w:val="105"/>
        </w:rPr>
        <w:t>Fixed</w:t>
      </w:r>
      <w:r>
        <w:rPr>
          <w:spacing w:val="-12"/>
          <w:w w:val="105"/>
        </w:rPr>
        <w:t> </w:t>
      </w:r>
      <w:r>
        <w:rPr>
          <w:w w:val="105"/>
        </w:rPr>
        <w:t>asset</w:t>
      </w:r>
      <w:r>
        <w:rPr>
          <w:spacing w:val="-12"/>
          <w:w w:val="105"/>
        </w:rPr>
        <w:t> </w:t>
      </w:r>
      <w:r>
        <w:rPr>
          <w:w w:val="105"/>
        </w:rPr>
        <w:t>accounting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reconciliation</w:t>
      </w:r>
    </w:p>
    <w:p>
      <w:pPr>
        <w:pStyle w:val="BodyText"/>
        <w:spacing w:before="103"/>
        <w:ind w:left="659"/>
      </w:pPr>
      <w:r>
        <w:rPr>
          <w:w w:val="105"/>
        </w:rPr>
        <w:t>Capital</w:t>
      </w:r>
      <w:r>
        <w:rPr>
          <w:spacing w:val="-11"/>
          <w:w w:val="105"/>
        </w:rPr>
        <w:t> </w:t>
      </w:r>
      <w:r>
        <w:rPr>
          <w:w w:val="105"/>
        </w:rPr>
        <w:t>expenditure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line="261" w:lineRule="auto" w:before="123"/>
        <w:ind w:left="659"/>
      </w:pPr>
      <w:r>
        <w:rPr>
          <w:w w:val="105"/>
        </w:rPr>
        <w:t>Depreciation</w:t>
      </w:r>
      <w:r>
        <w:rPr>
          <w:spacing w:val="-14"/>
          <w:w w:val="105"/>
        </w:rPr>
        <w:t> </w:t>
      </w:r>
      <w:r>
        <w:rPr>
          <w:w w:val="105"/>
        </w:rPr>
        <w:t>calculation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reporting</w:t>
      </w:r>
    </w:p>
    <w:p>
      <w:pPr>
        <w:pStyle w:val="BodyText"/>
        <w:spacing w:line="278" w:lineRule="auto" w:before="104"/>
        <w:ind w:left="659"/>
      </w:pPr>
      <w:r>
        <w:rPr>
          <w:w w:val="105"/>
        </w:rPr>
        <w:t>GAAP</w:t>
      </w:r>
      <w:r>
        <w:rPr>
          <w:spacing w:val="-12"/>
          <w:w w:val="105"/>
        </w:rPr>
        <w:t> </w:t>
      </w:r>
      <w:r>
        <w:rPr>
          <w:w w:val="105"/>
        </w:rPr>
        <w:t>compliance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audit </w:t>
      </w:r>
      <w:r>
        <w:rPr>
          <w:spacing w:val="-2"/>
          <w:w w:val="105"/>
        </w:rPr>
        <w:t>preparation</w:t>
      </w:r>
    </w:p>
    <w:p>
      <w:pPr>
        <w:pStyle w:val="BodyText"/>
        <w:spacing w:line="261" w:lineRule="auto" w:before="90"/>
        <w:ind w:left="659"/>
      </w:pPr>
      <w:r>
        <w:rPr>
          <w:w w:val="105"/>
        </w:rPr>
        <w:t>Asset</w:t>
      </w:r>
      <w:r>
        <w:rPr>
          <w:spacing w:val="-14"/>
          <w:w w:val="105"/>
        </w:rPr>
        <w:t> </w:t>
      </w:r>
      <w:r>
        <w:rPr>
          <w:w w:val="105"/>
        </w:rPr>
        <w:t>valuation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impairment </w:t>
      </w:r>
      <w:r>
        <w:rPr>
          <w:spacing w:val="-2"/>
          <w:w w:val="105"/>
        </w:rPr>
        <w:t>analysis</w:t>
      </w:r>
    </w:p>
    <w:p>
      <w:pPr>
        <w:pStyle w:val="BodyText"/>
        <w:spacing w:before="104"/>
        <w:ind w:left="659"/>
      </w:pPr>
      <w:r>
        <w:rPr/>
        <w:t>Financial</w:t>
      </w:r>
      <w:r>
        <w:rPr>
          <w:spacing w:val="15"/>
        </w:rPr>
        <w:t> </w:t>
      </w:r>
      <w:r>
        <w:rPr/>
        <w:t>statement</w:t>
      </w:r>
      <w:r>
        <w:rPr>
          <w:spacing w:val="16"/>
        </w:rPr>
        <w:t> </w:t>
      </w:r>
      <w:r>
        <w:rPr>
          <w:spacing w:val="-2"/>
        </w:rPr>
        <w:t>preparation</w:t>
      </w:r>
    </w:p>
    <w:p>
      <w:pPr>
        <w:pStyle w:val="BodyText"/>
        <w:spacing w:line="278" w:lineRule="auto" w:before="90"/>
        <w:ind w:left="901" w:right="255"/>
      </w:pPr>
      <w:r>
        <w:rPr/>
        <w:br w:type="column"/>
      </w:r>
      <w:r>
        <w:rPr>
          <w:w w:val="105"/>
        </w:rPr>
        <w:t>Manage and reconcile fixed asset records for over $500 million in company assets, improving tracking accuracy by 20%</w:t>
      </w:r>
    </w:p>
    <w:p>
      <w:pPr>
        <w:pStyle w:val="BodyText"/>
        <w:spacing w:line="261" w:lineRule="auto" w:before="90"/>
        <w:ind w:left="901" w:right="255"/>
      </w:pPr>
      <w:r>
        <w:rPr>
          <w:w w:val="105"/>
        </w:rPr>
        <w:t>Conduct depreciation calculations and impairment analysis, ensuring</w:t>
      </w:r>
      <w:r>
        <w:rPr>
          <w:spacing w:val="40"/>
          <w:w w:val="105"/>
        </w:rPr>
        <w:t> </w:t>
      </w:r>
      <w:r>
        <w:rPr>
          <w:w w:val="105"/>
        </w:rPr>
        <w:t>compliance with financial reporting standards</w:t>
      </w:r>
    </w:p>
    <w:p>
      <w:pPr>
        <w:pStyle w:val="BodyText"/>
        <w:spacing w:line="261" w:lineRule="auto" w:before="104"/>
        <w:ind w:left="901" w:right="181"/>
      </w:pPr>
      <w:r>
        <w:rPr>
          <w:w w:val="105"/>
        </w:rPr>
        <w:t>Assist auditors by preparing detailed asset schedules, reducing audit</w:t>
      </w:r>
      <w:r>
        <w:rPr>
          <w:spacing w:val="40"/>
          <w:w w:val="105"/>
        </w:rPr>
        <w:t> </w:t>
      </w:r>
      <w:r>
        <w:rPr>
          <w:w w:val="105"/>
        </w:rPr>
        <w:t>review time by 30%</w:t>
      </w:r>
    </w:p>
    <w:p>
      <w:pPr>
        <w:pStyle w:val="BodyText"/>
        <w:spacing w:before="91"/>
      </w:pPr>
    </w:p>
    <w:p>
      <w:pPr>
        <w:pStyle w:val="BodyText"/>
        <w:spacing w:line="261" w:lineRule="auto"/>
        <w:ind w:left="120" w:right="1891"/>
      </w:pPr>
      <w:r>
        <w:rPr>
          <w:color w:val="134E5C"/>
          <w:w w:val="105"/>
        </w:rPr>
        <w:t>Accounting Analyst </w:t>
      </w:r>
      <w:r>
        <w:rPr>
          <w:w w:val="105"/>
        </w:rPr>
        <w:t>| Pacific Technology Group, Seattle, WA July 2017 - June 2019</w:t>
      </w:r>
    </w:p>
    <w:p>
      <w:pPr>
        <w:pStyle w:val="BodyText"/>
        <w:spacing w:line="278" w:lineRule="auto" w:before="194"/>
        <w:ind w:left="901" w:right="181"/>
      </w:pPr>
      <w:r>
        <w:rPr>
          <w:w w:val="105"/>
        </w:rPr>
        <w:t>Maintained fixed asset ledgers and processed capital expenditures for a</w:t>
      </w:r>
      <w:r>
        <w:rPr>
          <w:spacing w:val="40"/>
          <w:w w:val="105"/>
        </w:rPr>
        <w:t> </w:t>
      </w:r>
      <w:r>
        <w:rPr>
          <w:w w:val="105"/>
        </w:rPr>
        <w:t>company with $300 million in annual revenue</w:t>
      </w:r>
    </w:p>
    <w:p>
      <w:pPr>
        <w:pStyle w:val="BodyText"/>
        <w:spacing w:line="278" w:lineRule="auto" w:before="75"/>
        <w:ind w:left="901" w:right="255"/>
      </w:pPr>
      <w:r>
        <w:rPr>
          <w:w w:val="105"/>
        </w:rPr>
        <w:t>Assisted in preparing financial reports, improving depreciation schedule</w:t>
      </w:r>
      <w:r>
        <w:rPr>
          <w:spacing w:val="40"/>
          <w:w w:val="105"/>
        </w:rPr>
        <w:t> </w:t>
      </w:r>
      <w:r>
        <w:rPr>
          <w:w w:val="105"/>
        </w:rPr>
        <w:t>accuracy for tax and audit compliance</w:t>
      </w:r>
    </w:p>
    <w:p>
      <w:pPr>
        <w:pStyle w:val="BodyText"/>
        <w:spacing w:line="261" w:lineRule="auto" w:before="90"/>
        <w:ind w:left="901" w:right="255"/>
      </w:pPr>
      <w:r>
        <w:rPr>
          <w:w w:val="105"/>
        </w:rPr>
        <w:t>Partnered with operations teams to implement new asset tracking procedures, reducing discrepancies by 25%</w:t>
      </w:r>
    </w:p>
    <w:p>
      <w:pPr>
        <w:pStyle w:val="BodyText"/>
        <w:spacing w:before="84"/>
      </w:pPr>
    </w:p>
    <w:p>
      <w:pPr>
        <w:pStyle w:val="Heading1"/>
      </w:pPr>
      <w:r>
        <w:rPr>
          <w:smallCaps/>
          <w:color w:val="134E5C"/>
          <w:spacing w:val="-2"/>
          <w:w w:val="110"/>
        </w:rPr>
        <w:t>Certifications</w:t>
      </w:r>
    </w:p>
    <w:p>
      <w:pPr>
        <w:pStyle w:val="BodyText"/>
        <w:spacing w:before="127"/>
        <w:ind w:left="417"/>
      </w:pP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Management</w:t>
      </w:r>
      <w:r>
        <w:rPr>
          <w:spacing w:val="21"/>
          <w:w w:val="105"/>
        </w:rPr>
        <w:t> </w:t>
      </w:r>
      <w:r>
        <w:rPr>
          <w:w w:val="105"/>
        </w:rPr>
        <w:t>Accountant</w:t>
      </w:r>
      <w:r>
        <w:rPr>
          <w:spacing w:val="21"/>
          <w:w w:val="105"/>
        </w:rPr>
        <w:t> </w:t>
      </w:r>
      <w:r>
        <w:rPr>
          <w:w w:val="105"/>
        </w:rPr>
        <w:t>(CMA),</w:t>
      </w:r>
      <w:r>
        <w:rPr>
          <w:spacing w:val="21"/>
          <w:w w:val="105"/>
        </w:rPr>
        <w:t> </w:t>
      </w:r>
      <w:r>
        <w:rPr>
          <w:w w:val="105"/>
        </w:rPr>
        <w:t>Institute</w:t>
      </w:r>
      <w:r>
        <w:rPr>
          <w:spacing w:val="21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Management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Accountants</w:t>
      </w:r>
    </w:p>
    <w:p>
      <w:pPr>
        <w:pStyle w:val="BodyText"/>
        <w:spacing w:before="33"/>
        <w:ind w:left="417"/>
      </w:pPr>
      <w:r>
        <w:rPr/>
        <w:t>|</w:t>
      </w:r>
      <w:r>
        <w:rPr>
          <w:spacing w:val="3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540" w:bottom="280" w:left="141" w:right="425"/>
      <w:cols w:num="2" w:equalWidth="0">
        <w:col w:w="3508" w:space="490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39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lauren.mitche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2026-02-20T12:20:12Z</dcterms:created>
  <dcterms:modified xsi:type="dcterms:W3CDTF">2026-02-20T12:20:12Z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