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870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789C2F"/>
          <w:w w:val="130"/>
          <w:sz w:val="70"/>
        </w:rPr>
        <w:t>Reese</w:t>
      </w:r>
      <w:r>
        <w:rPr>
          <w:rFonts w:ascii="Calibri"/>
          <w:b/>
          <w:color w:val="789C2F"/>
          <w:spacing w:val="-38"/>
          <w:w w:val="130"/>
          <w:sz w:val="70"/>
        </w:rPr>
        <w:t> </w:t>
      </w:r>
      <w:r>
        <w:rPr>
          <w:rFonts w:ascii="Calibri"/>
          <w:color w:val="789C2F"/>
          <w:spacing w:val="-4"/>
          <w:w w:val="130"/>
          <w:sz w:val="70"/>
        </w:rPr>
        <w:t>King</w:t>
      </w:r>
    </w:p>
    <w:p>
      <w:pPr>
        <w:pStyle w:val="BodyText"/>
        <w:spacing w:line="213" w:lineRule="exact"/>
        <w:ind w:left="6443"/>
        <w:rPr>
          <w:rFonts w:ascii="Calibri"/>
        </w:rPr>
      </w:pPr>
      <w:r>
        <w:rPr>
          <w:rFonts w:ascii="Calibri"/>
          <w:w w:val="125"/>
        </w:rPr>
        <w:t>Assistant</w:t>
      </w:r>
      <w:r>
        <w:rPr>
          <w:rFonts w:ascii="Calibri"/>
          <w:spacing w:val="8"/>
          <w:w w:val="125"/>
        </w:rPr>
        <w:t> </w:t>
      </w:r>
      <w:r>
        <w:rPr>
          <w:rFonts w:ascii="Calibri"/>
          <w:w w:val="125"/>
        </w:rPr>
        <w:t>Branch</w:t>
      </w:r>
      <w:r>
        <w:rPr>
          <w:rFonts w:ascii="Calibri"/>
          <w:spacing w:val="9"/>
          <w:w w:val="125"/>
        </w:rPr>
        <w:t> </w:t>
      </w:r>
      <w:r>
        <w:rPr>
          <w:rFonts w:ascii="Calibri"/>
          <w:w w:val="125"/>
        </w:rPr>
        <w:t>Manager</w:t>
      </w:r>
      <w:r>
        <w:rPr>
          <w:rFonts w:ascii="Calibri"/>
          <w:spacing w:val="9"/>
          <w:w w:val="125"/>
        </w:rPr>
        <w:t> </w:t>
      </w:r>
      <w:r>
        <w:rPr>
          <w:rFonts w:ascii="Calibri"/>
          <w:spacing w:val="-2"/>
          <w:w w:val="125"/>
        </w:rPr>
        <w:t>(Banking)</w:t>
      </w:r>
    </w:p>
    <w:p>
      <w:pPr>
        <w:pStyle w:val="Heading1"/>
        <w:spacing w:before="217"/>
        <w:ind w:left="4659" w:right="740"/>
        <w:jc w:val="center"/>
      </w:pPr>
      <w:r>
        <w:rPr>
          <w:w w:val="105"/>
        </w:rPr>
        <w:t>Banking</w:t>
      </w:r>
      <w:r>
        <w:rPr>
          <w:spacing w:val="-2"/>
          <w:w w:val="105"/>
        </w:rPr>
        <w:t> </w:t>
      </w:r>
      <w:r>
        <w:rPr>
          <w:w w:val="105"/>
        </w:rPr>
        <w:t>Leader</w:t>
      </w:r>
      <w:r>
        <w:rPr>
          <w:spacing w:val="-7"/>
          <w:w w:val="105"/>
        </w:rPr>
        <w:t> </w:t>
      </w:r>
      <w:r>
        <w:rPr>
          <w:w w:val="105"/>
        </w:rPr>
        <w:t>focused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operational</w:t>
      </w:r>
      <w:r>
        <w:rPr>
          <w:spacing w:val="-8"/>
          <w:w w:val="105"/>
        </w:rPr>
        <w:t> </w:t>
      </w:r>
      <w:r>
        <w:rPr>
          <w:w w:val="105"/>
        </w:rPr>
        <w:t>excellence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client</w:t>
      </w:r>
      <w:r>
        <w:rPr>
          <w:spacing w:val="-2"/>
          <w:w w:val="105"/>
        </w:rPr>
        <w:t> growth</w:t>
      </w:r>
    </w:p>
    <w:p>
      <w:pPr>
        <w:pStyle w:val="BodyText"/>
        <w:spacing w:line="259" w:lineRule="auto" w:before="106"/>
        <w:ind w:left="4659" w:right="738"/>
        <w:jc w:val="center"/>
      </w:pPr>
      <w:r>
        <w:rPr>
          <w:w w:val="105"/>
        </w:rPr>
        <w:t>Experienced</w:t>
      </w:r>
      <w:r>
        <w:rPr>
          <w:spacing w:val="-7"/>
          <w:w w:val="105"/>
        </w:rPr>
        <w:t> </w:t>
      </w:r>
      <w:r>
        <w:rPr>
          <w:w w:val="105"/>
        </w:rPr>
        <w:t>assistant</w:t>
      </w:r>
      <w:r>
        <w:rPr>
          <w:spacing w:val="-7"/>
          <w:w w:val="105"/>
        </w:rPr>
        <w:t> </w:t>
      </w:r>
      <w:r>
        <w:rPr>
          <w:w w:val="105"/>
        </w:rPr>
        <w:t>branch</w:t>
      </w:r>
      <w:r>
        <w:rPr>
          <w:spacing w:val="-7"/>
          <w:w w:val="105"/>
        </w:rPr>
        <w:t> </w:t>
      </w:r>
      <w:r>
        <w:rPr>
          <w:w w:val="105"/>
        </w:rPr>
        <w:t>manager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11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retail</w:t>
      </w:r>
      <w:r>
        <w:rPr>
          <w:spacing w:val="-14"/>
          <w:w w:val="105"/>
        </w:rPr>
        <w:t> </w:t>
      </w:r>
      <w:r>
        <w:rPr>
          <w:w w:val="105"/>
        </w:rPr>
        <w:t>banking. Expert</w:t>
      </w:r>
      <w:r>
        <w:rPr>
          <w:spacing w:val="-15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daily</w:t>
      </w:r>
      <w:r>
        <w:rPr>
          <w:spacing w:val="-15"/>
          <w:w w:val="105"/>
        </w:rPr>
        <w:t> </w:t>
      </w:r>
      <w:r>
        <w:rPr>
          <w:w w:val="105"/>
        </w:rPr>
        <w:t>operations,</w:t>
      </w:r>
      <w:r>
        <w:rPr>
          <w:spacing w:val="-14"/>
          <w:w w:val="105"/>
        </w:rPr>
        <w:t> </w:t>
      </w:r>
      <w:r>
        <w:rPr>
          <w:w w:val="105"/>
        </w:rPr>
        <w:t>sales</w:t>
      </w:r>
      <w:r>
        <w:rPr>
          <w:spacing w:val="-14"/>
          <w:w w:val="105"/>
        </w:rPr>
        <w:t> </w:t>
      </w:r>
      <w:r>
        <w:rPr>
          <w:w w:val="105"/>
        </w:rPr>
        <w:t>initiatives,</w:t>
      </w:r>
      <w:r>
        <w:rPr>
          <w:spacing w:val="-14"/>
          <w:w w:val="105"/>
        </w:rPr>
        <w:t> </w:t>
      </w:r>
      <w:r>
        <w:rPr>
          <w:w w:val="105"/>
        </w:rPr>
        <w:t>compliance,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customer service excellence. Proven ability to grow</w:t>
      </w:r>
      <w:r>
        <w:rPr>
          <w:spacing w:val="-1"/>
          <w:w w:val="105"/>
        </w:rPr>
        <w:t> </w:t>
      </w:r>
      <w:r>
        <w:rPr>
          <w:w w:val="105"/>
        </w:rPr>
        <w:t>client portfolios</w:t>
      </w:r>
      <w:r>
        <w:rPr>
          <w:spacing w:val="-1"/>
          <w:w w:val="105"/>
        </w:rPr>
        <w:t> </w:t>
      </w:r>
      <w:r>
        <w:rPr>
          <w:w w:val="105"/>
        </w:rPr>
        <w:t>while maintaining audit-ready records.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167955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789C2F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24864pt;width:363.45pt;height:18pt;mso-position-horizontal-relative:page;mso-position-vertical-relative:paragraph;z-index:-15728640;mso-wrap-distance-left:0;mso-wrap-distance-right:0" type="#_x0000_t202" id="docshape1" filled="true" fillcolor="#789c2f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4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2"/>
        <w:rPr>
          <w:rFonts w:ascii="Calibri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</w:rPr>
        <w:t>555-555-</w:t>
      </w:r>
      <w:r>
        <w:rPr>
          <w:color w:val="FFFFFF"/>
          <w:spacing w:val="-4"/>
        </w:rPr>
        <w:t>5555</w:t>
      </w:r>
    </w:p>
    <w:p>
      <w:pPr>
        <w:pStyle w:val="BodyText"/>
        <w:spacing w:before="121"/>
      </w:pPr>
    </w:p>
    <w:p>
      <w:pPr>
        <w:pStyle w:val="BodyText"/>
        <w:spacing w:line="619" w:lineRule="auto" w:before="1"/>
        <w:ind w:left="1050" w:right="764"/>
      </w:pPr>
      <w:hyperlink r:id="rId5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1"/>
        <w:ind w:left="1050"/>
      </w:pPr>
      <w:r>
        <w:rPr>
          <w:color w:val="FFFFFF"/>
        </w:rPr>
        <w:t>Tampa,</w:t>
      </w:r>
      <w:r>
        <w:rPr>
          <w:color w:val="FFFFFF"/>
          <w:spacing w:val="13"/>
        </w:rPr>
        <w:t> </w:t>
      </w:r>
      <w:r>
        <w:rPr>
          <w:color w:val="FFFFFF"/>
        </w:rPr>
        <w:t>FL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33602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87"/>
        <w:rPr>
          <w:rFonts w:ascii="Calibri"/>
          <w:sz w:val="16"/>
        </w:rPr>
      </w:pPr>
    </w:p>
    <w:p>
      <w:pPr>
        <w:pStyle w:val="BodyText"/>
        <w:spacing w:line="367" w:lineRule="auto"/>
        <w:ind w:left="882" w:right="524"/>
      </w:pPr>
      <w:r>
        <w:rPr>
          <w:color w:val="FFFFFF"/>
          <w:w w:val="110"/>
        </w:rPr>
        <w:t>Account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management Banking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compliance Employee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coaching Financial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reporting</w:t>
      </w:r>
    </w:p>
    <w:p>
      <w:pPr>
        <w:pStyle w:val="BodyText"/>
        <w:spacing w:line="362" w:lineRule="auto"/>
        <w:ind w:left="882" w:right="38"/>
        <w:jc w:val="both"/>
      </w:pPr>
      <w:r>
        <w:rPr>
          <w:color w:val="FFFFFF"/>
          <w:w w:val="105"/>
        </w:rPr>
        <w:t>Loan application processing Sales performance tracking Teller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operations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Assistant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Branch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Manager</w:t>
      </w:r>
      <w:r>
        <w:rPr>
          <w:rFonts w:ascii="Calibri"/>
          <w:spacing w:val="16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February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2018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/>
        <w:t>Southern</w:t>
      </w:r>
      <w:r>
        <w:rPr>
          <w:spacing w:val="26"/>
        </w:rPr>
        <w:t> </w:t>
      </w:r>
      <w:r>
        <w:rPr/>
        <w:t>Coast</w:t>
      </w:r>
      <w:r>
        <w:rPr>
          <w:spacing w:val="26"/>
        </w:rPr>
        <w:t> </w:t>
      </w:r>
      <w:r>
        <w:rPr/>
        <w:t>Bank,</w:t>
      </w:r>
      <w:r>
        <w:rPr>
          <w:spacing w:val="16"/>
        </w:rPr>
        <w:t> </w:t>
      </w:r>
      <w:r>
        <w:rPr/>
        <w:t>Tampa,</w:t>
      </w:r>
      <w:r>
        <w:rPr>
          <w:spacing w:val="26"/>
        </w:rPr>
        <w:t> </w:t>
      </w:r>
      <w:r>
        <w:rPr>
          <w:spacing w:val="-5"/>
        </w:rPr>
        <w:t>FL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949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0"/>
        </w:rPr>
        <w:t>Increased</w:t>
      </w:r>
      <w:r>
        <w:rPr>
          <w:spacing w:val="-15"/>
          <w:w w:val="110"/>
        </w:rPr>
        <w:t> </w:t>
      </w:r>
      <w:r>
        <w:rPr>
          <w:w w:val="110"/>
        </w:rPr>
        <w:t>new</w:t>
      </w:r>
      <w:r>
        <w:rPr>
          <w:spacing w:val="-19"/>
          <w:w w:val="110"/>
        </w:rPr>
        <w:t> </w:t>
      </w:r>
      <w:r>
        <w:rPr>
          <w:w w:val="110"/>
        </w:rPr>
        <w:t>account</w:t>
      </w:r>
      <w:r>
        <w:rPr>
          <w:spacing w:val="-15"/>
          <w:w w:val="110"/>
        </w:rPr>
        <w:t> </w:t>
      </w:r>
      <w:r>
        <w:rPr>
          <w:w w:val="110"/>
        </w:rPr>
        <w:t>openings</w:t>
      </w:r>
      <w:r>
        <w:rPr>
          <w:spacing w:val="-15"/>
          <w:w w:val="110"/>
        </w:rPr>
        <w:t> </w:t>
      </w:r>
      <w:r>
        <w:rPr>
          <w:w w:val="110"/>
        </w:rPr>
        <w:t>by</w:t>
      </w:r>
      <w:r>
        <w:rPr>
          <w:spacing w:val="-17"/>
          <w:w w:val="110"/>
        </w:rPr>
        <w:t> </w:t>
      </w:r>
      <w:r>
        <w:rPr>
          <w:w w:val="110"/>
        </w:rPr>
        <w:t>27%</w:t>
      </w:r>
      <w:r>
        <w:rPr>
          <w:spacing w:val="-15"/>
          <w:w w:val="110"/>
        </w:rPr>
        <w:t> </w:t>
      </w:r>
      <w:r>
        <w:rPr>
          <w:w w:val="110"/>
        </w:rPr>
        <w:t>through</w:t>
      </w:r>
      <w:r>
        <w:rPr>
          <w:spacing w:val="-15"/>
          <w:w w:val="110"/>
        </w:rPr>
        <w:t> </w:t>
      </w:r>
      <w:r>
        <w:rPr>
          <w:w w:val="110"/>
        </w:rPr>
        <w:t>improved</w:t>
      </w:r>
      <w:r>
        <w:rPr>
          <w:spacing w:val="-15"/>
          <w:w w:val="110"/>
        </w:rPr>
        <w:t> </w:t>
      </w:r>
      <w:r>
        <w:rPr>
          <w:w w:val="110"/>
        </w:rPr>
        <w:t>lead follow-up and staff coaching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355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-7"/>
          <w:w w:val="105"/>
        </w:rPr>
        <w:t> </w:t>
      </w:r>
      <w:r>
        <w:rPr>
          <w:w w:val="105"/>
        </w:rPr>
        <w:t>daily</w:t>
      </w:r>
      <w:r>
        <w:rPr>
          <w:spacing w:val="-6"/>
          <w:w w:val="105"/>
        </w:rPr>
        <w:t> </w:t>
      </w:r>
      <w:r>
        <w:rPr>
          <w:w w:val="105"/>
        </w:rPr>
        <w:t>branch operations and supported teller</w:t>
      </w:r>
      <w:r>
        <w:rPr>
          <w:spacing w:val="-6"/>
          <w:w w:val="105"/>
        </w:rPr>
        <w:t> </w:t>
      </w:r>
      <w:r>
        <w:rPr>
          <w:w w:val="105"/>
        </w:rPr>
        <w:t>staff</w:t>
      </w:r>
      <w:r>
        <w:rPr>
          <w:spacing w:val="-5"/>
          <w:w w:val="105"/>
        </w:rPr>
        <w:t> </w:t>
      </w:r>
      <w:r>
        <w:rPr>
          <w:w w:val="105"/>
        </w:rPr>
        <w:t>during peak transaction</w:t>
      </w:r>
      <w:r>
        <w:rPr>
          <w:spacing w:val="-3"/>
          <w:w w:val="105"/>
        </w:rPr>
        <w:t> </w:t>
      </w:r>
      <w:r>
        <w:rPr>
          <w:w w:val="105"/>
        </w:rPr>
        <w:t>times</w:t>
      </w:r>
    </w:p>
    <w:p>
      <w:pPr>
        <w:pStyle w:val="BodyText"/>
        <w:tabs>
          <w:tab w:pos="715" w:val="left" w:leader="none"/>
        </w:tabs>
        <w:spacing w:before="89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5"/>
          <w:w w:val="105"/>
        </w:rPr>
        <w:t> </w:t>
      </w:r>
      <w:r>
        <w:rPr>
          <w:w w:val="105"/>
        </w:rPr>
        <w:t>quarterly</w:t>
      </w:r>
      <w:r>
        <w:rPr>
          <w:spacing w:val="-10"/>
          <w:w w:val="105"/>
        </w:rPr>
        <w:t> </w:t>
      </w:r>
      <w:r>
        <w:rPr>
          <w:w w:val="105"/>
        </w:rPr>
        <w:t>compliance</w:t>
      </w:r>
      <w:r>
        <w:rPr>
          <w:spacing w:val="-4"/>
          <w:w w:val="105"/>
        </w:rPr>
        <w:t> </w:t>
      </w:r>
      <w:r>
        <w:rPr>
          <w:w w:val="105"/>
        </w:rPr>
        <w:t>reviews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zero</w:t>
      </w:r>
      <w:r>
        <w:rPr>
          <w:spacing w:val="-4"/>
          <w:w w:val="105"/>
        </w:rPr>
        <w:t> </w:t>
      </w:r>
      <w:r>
        <w:rPr>
          <w:w w:val="105"/>
        </w:rPr>
        <w:t>policy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violations</w:t>
      </w:r>
    </w:p>
    <w:p>
      <w:pPr>
        <w:pStyle w:val="BodyText"/>
        <w:spacing w:before="208"/>
        <w:ind w:left="139"/>
        <w:rPr>
          <w:rFonts w:ascii="Calibri"/>
        </w:rPr>
      </w:pPr>
      <w:r>
        <w:rPr>
          <w:rFonts w:ascii="Calibri"/>
          <w:w w:val="120"/>
        </w:rPr>
        <w:t>Senior</w:t>
      </w:r>
      <w:r>
        <w:rPr>
          <w:rFonts w:ascii="Calibri"/>
          <w:spacing w:val="7"/>
          <w:w w:val="120"/>
        </w:rPr>
        <w:t> </w:t>
      </w:r>
      <w:r>
        <w:rPr>
          <w:rFonts w:ascii="Calibri"/>
          <w:w w:val="120"/>
        </w:rPr>
        <w:t>Teller</w:t>
      </w:r>
      <w:r>
        <w:rPr>
          <w:rFonts w:ascii="Calibri"/>
          <w:spacing w:val="7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7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8"/>
          <w:w w:val="120"/>
        </w:rPr>
        <w:t> </w:t>
      </w:r>
      <w:r>
        <w:rPr>
          <w:rFonts w:ascii="Calibri"/>
          <w:w w:val="120"/>
        </w:rPr>
        <w:t>2013</w:t>
      </w:r>
      <w:r>
        <w:rPr>
          <w:rFonts w:ascii="Calibri"/>
          <w:spacing w:val="7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7"/>
          <w:w w:val="120"/>
        </w:rPr>
        <w:t> </w:t>
      </w:r>
      <w:r>
        <w:rPr>
          <w:rFonts w:ascii="Calibri"/>
          <w:w w:val="120"/>
        </w:rPr>
        <w:t>January</w:t>
      </w:r>
      <w:r>
        <w:rPr>
          <w:rFonts w:ascii="Calibri"/>
          <w:spacing w:val="7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8"/>
        <w:ind w:left="139"/>
      </w:pPr>
      <w:r>
        <w:rPr>
          <w:spacing w:val="-2"/>
          <w:w w:val="105"/>
        </w:rPr>
        <w:t>National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Credit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Union,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47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Processed</w:t>
      </w:r>
      <w:r>
        <w:rPr>
          <w:spacing w:val="35"/>
        </w:rPr>
        <w:t> </w:t>
      </w:r>
      <w:r>
        <w:rPr/>
        <w:t>large</w:t>
      </w:r>
      <w:r>
        <w:rPr>
          <w:spacing w:val="35"/>
        </w:rPr>
        <w:t> </w:t>
      </w:r>
      <w:r>
        <w:rPr/>
        <w:t>cash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check</w:t>
      </w:r>
      <w:r>
        <w:rPr>
          <w:spacing w:val="35"/>
        </w:rPr>
        <w:t> </w:t>
      </w:r>
      <w:r>
        <w:rPr/>
        <w:t>transactions while</w:t>
      </w:r>
      <w:r>
        <w:rPr>
          <w:spacing w:val="35"/>
        </w:rPr>
        <w:t> </w:t>
      </w:r>
      <w:r>
        <w:rPr/>
        <w:t>maintaining</w:t>
      </w:r>
      <w:r>
        <w:rPr>
          <w:spacing w:val="35"/>
        </w:rPr>
        <w:t> </w:t>
      </w:r>
      <w:r>
        <w:rPr/>
        <w:t>99.9% </w:t>
      </w:r>
      <w:r>
        <w:rPr>
          <w:spacing w:val="-2"/>
          <w:w w:val="110"/>
        </w:rPr>
        <w:t>accuracy</w:t>
      </w:r>
    </w:p>
    <w:p>
      <w:pPr>
        <w:pStyle w:val="BodyText"/>
        <w:tabs>
          <w:tab w:pos="715" w:val="left" w:leader="none"/>
        </w:tabs>
        <w:spacing w:before="88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-8"/>
          <w:w w:val="105"/>
        </w:rPr>
        <w:t> </w:t>
      </w:r>
      <w:r>
        <w:rPr>
          <w:w w:val="105"/>
        </w:rPr>
        <w:t>junior</w:t>
      </w:r>
      <w:r>
        <w:rPr>
          <w:spacing w:val="-14"/>
          <w:w w:val="105"/>
        </w:rPr>
        <w:t> </w:t>
      </w:r>
      <w:r>
        <w:rPr>
          <w:w w:val="105"/>
        </w:rPr>
        <w:t>tellers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reduced</w:t>
      </w:r>
      <w:r>
        <w:rPr>
          <w:spacing w:val="-8"/>
          <w:w w:val="105"/>
        </w:rPr>
        <w:t> </w:t>
      </w:r>
      <w:r>
        <w:rPr>
          <w:w w:val="105"/>
        </w:rPr>
        <w:t>onboarding</w:t>
      </w:r>
      <w:r>
        <w:rPr>
          <w:spacing w:val="-8"/>
          <w:w w:val="105"/>
        </w:rPr>
        <w:t> </w:t>
      </w:r>
      <w:r>
        <w:rPr>
          <w:w w:val="105"/>
        </w:rPr>
        <w:t>time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Recognized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100%</w:t>
      </w:r>
      <w:r>
        <w:rPr>
          <w:spacing w:val="-2"/>
          <w:w w:val="105"/>
        </w:rPr>
        <w:t> </w:t>
      </w:r>
      <w:r>
        <w:rPr>
          <w:w w:val="105"/>
        </w:rPr>
        <w:t>attendance</w:t>
      </w:r>
      <w:r>
        <w:rPr>
          <w:spacing w:val="-3"/>
          <w:w w:val="105"/>
        </w:rPr>
        <w:t> </w:t>
      </w:r>
      <w:r>
        <w:rPr>
          <w:w w:val="105"/>
        </w:rPr>
        <w:t>record</w:t>
      </w:r>
      <w:r>
        <w:rPr>
          <w:spacing w:val="-3"/>
          <w:w w:val="105"/>
        </w:rPr>
        <w:t> </w:t>
      </w:r>
      <w:r>
        <w:rPr>
          <w:w w:val="105"/>
        </w:rPr>
        <w:t>over</w:t>
      </w:r>
      <w:r>
        <w:rPr>
          <w:spacing w:val="-8"/>
          <w:w w:val="105"/>
        </w:rPr>
        <w:t> </w:t>
      </w:r>
      <w:r>
        <w:rPr>
          <w:w w:val="105"/>
        </w:rPr>
        <w:t>five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years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332" w:space="1300"/>
            <w:col w:w="7147"/>
          </w:cols>
        </w:sectPr>
      </w:pPr>
    </w:p>
    <w:p>
      <w:pPr>
        <w:pStyle w:val="BodyText"/>
        <w:spacing w:before="17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87" y="5229224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626135"/>
                                </a:moveTo>
                                <a:lnTo>
                                  <a:pt x="31102" y="609600"/>
                                </a:lnTo>
                                <a:lnTo>
                                  <a:pt x="16535" y="609600"/>
                                </a:lnTo>
                                <a:lnTo>
                                  <a:pt x="0" y="626135"/>
                                </a:lnTo>
                                <a:lnTo>
                                  <a:pt x="0" y="628650"/>
                                </a:lnTo>
                                <a:lnTo>
                                  <a:pt x="0" y="631177"/>
                                </a:lnTo>
                                <a:lnTo>
                                  <a:pt x="16535" y="647700"/>
                                </a:lnTo>
                                <a:lnTo>
                                  <a:pt x="31102" y="647700"/>
                                </a:lnTo>
                                <a:lnTo>
                                  <a:pt x="47625" y="631177"/>
                                </a:lnTo>
                                <a:lnTo>
                                  <a:pt x="47625" y="626135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8816" id="docshapegroup2" coordorigin="0,0" coordsize="4410,16860">
                <v:rect style="position:absolute;left:0;top:0;width:4410;height:16860" id="docshape3" filled="true" fillcolor="#789c2f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9" o:title=""/>
                </v:shape>
                <v:shape style="position:absolute;left:720;top:5295;width:317;height:317" type="#_x0000_t75" id="docshape6" stroked="false">
                  <v:imagedata r:id="rId10" o:title=""/>
                </v:shape>
                <v:shape style="position:absolute;left:740;top:5835;width:275;height:317" type="#_x0000_t75" id="docshape7" stroked="false">
                  <v:imagedata r:id="rId11" o:title=""/>
                </v:shape>
                <v:shape style="position:absolute;left:720;top:6396;width:317;height:274" type="#_x0000_t75" id="docshape8" stroked="false">
                  <v:imagedata r:id="rId12" o:title=""/>
                </v:shape>
                <v:shape style="position:absolute;left:721;top:6915;width:315;height:317" type="#_x0000_t75" id="docshape9" stroked="false">
                  <v:imagedata r:id="rId13" o:title=""/>
                </v:shape>
                <v:shape style="position:absolute;left:719;top:8235;width:75;height:3135" id="docshape10" coordorigin="720,8235" coordsize="75,3135" path="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0172l794,10167,790,10158,788,10154,781,10147,777,10145,768,10141,763,10140,752,10140,747,10141,738,10145,734,10147,727,10154,725,10158,721,10167,720,10172,720,10178,720,10183,721,10188,725,10197,727,10201,734,10208,738,10210,747,10214,752,10215,763,10215,768,10214,777,10210,781,10208,788,10201,790,10197,794,10188,795,10183,795,10172xm795,9857l794,9852,790,9843,788,9839,781,9832,777,9830,768,9826,763,9825,752,9825,747,9826,738,9830,734,9832,727,9839,725,9843,721,9852,720,9857,720,9863,720,9868,721,9873,725,9882,727,9886,734,9893,738,9895,747,9899,752,9900,763,9900,768,9899,777,9895,781,9893,788,9886,790,9882,794,9873,795,9868,795,9857xm795,9542l794,9537,790,9528,788,9524,781,9517,777,9515,768,9511,763,9510,752,9510,747,9511,738,9515,734,9517,727,9524,725,9528,721,9537,720,9542,720,9548,720,9553,721,9558,725,9567,727,9571,734,9578,738,9580,747,9584,752,9585,763,9585,768,9584,777,9580,781,9578,788,9571,790,9567,794,9558,795,9553,795,9542xm795,9221l794,9217,791,9210,789,9207,783,9201,780,9199,773,9196,769,9195,746,9195,742,9196,735,9199,732,9201,726,9207,724,9210,721,9217,720,9221,720,9225,720,9229,721,9233,724,9240,726,9243,732,9249,735,9251,742,9254,746,9255,769,9255,773,9254,780,9251,783,9249,789,9243,791,9240,794,9233,795,9229,795,9221xm795,8897l794,8892,790,8883,788,8879,781,8872,777,8870,768,8866,763,8865,752,8865,747,8866,738,8870,734,8872,727,8879,725,8883,721,8892,720,8897,720,8903,720,8908,721,8913,725,8922,727,8926,734,8933,738,8935,747,8939,752,8940,763,8940,768,8939,777,8935,781,8933,788,8926,790,8922,794,8913,795,8908,795,8897xm795,8582l794,8577,790,8568,788,8564,781,8557,777,8555,768,8551,763,8550,752,8550,747,8551,738,8555,734,8557,727,8564,725,8568,721,8577,720,8582,720,8588,720,8593,721,8598,725,8607,727,8611,734,8618,738,8620,747,8624,752,8625,763,8625,768,8624,777,8620,781,8618,788,8611,790,8607,794,8598,795,8593,795,858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61"/>
        <w:rPr>
          <w:rFonts w:ascii="Calibri"/>
        </w:rPr>
      </w:pPr>
    </w:p>
    <w:p>
      <w:pPr>
        <w:pStyle w:val="Heading1"/>
        <w:rPr>
          <w:rFonts w:ascii="Calibri"/>
        </w:rPr>
      </w:pPr>
      <w:r>
        <w:rPr>
          <w:rFonts w:ascii="Calibri"/>
          <w:color w:val="FFFFFF"/>
          <w:w w:val="130"/>
        </w:rPr>
        <w:t>Bachelor</w:t>
      </w:r>
      <w:r>
        <w:rPr>
          <w:rFonts w:ascii="Calibri"/>
          <w:color w:val="FFFFFF"/>
          <w:spacing w:val="4"/>
          <w:w w:val="130"/>
        </w:rPr>
        <w:t> </w:t>
      </w:r>
      <w:r>
        <w:rPr>
          <w:rFonts w:ascii="Calibri"/>
          <w:color w:val="FFFFFF"/>
          <w:w w:val="130"/>
        </w:rPr>
        <w:t>of</w:t>
      </w:r>
      <w:r>
        <w:rPr>
          <w:rFonts w:ascii="Calibri"/>
          <w:color w:val="FFFFFF"/>
          <w:spacing w:val="5"/>
          <w:w w:val="130"/>
        </w:rPr>
        <w:t> </w:t>
      </w:r>
      <w:r>
        <w:rPr>
          <w:rFonts w:ascii="Calibri"/>
          <w:color w:val="FFFFFF"/>
          <w:w w:val="130"/>
        </w:rPr>
        <w:t>Science</w:t>
      </w:r>
      <w:r>
        <w:rPr>
          <w:rFonts w:ascii="Calibri"/>
          <w:color w:val="FFFFFF"/>
          <w:spacing w:val="5"/>
          <w:w w:val="130"/>
        </w:rPr>
        <w:t> </w:t>
      </w:r>
      <w:r>
        <w:rPr>
          <w:rFonts w:ascii="Calibri"/>
          <w:color w:val="FFFFFF"/>
          <w:w w:val="130"/>
        </w:rPr>
        <w:t>in</w:t>
      </w:r>
      <w:r>
        <w:rPr>
          <w:rFonts w:ascii="Calibri"/>
          <w:color w:val="FFFFFF"/>
          <w:spacing w:val="5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Finance</w:t>
      </w:r>
    </w:p>
    <w:p>
      <w:pPr>
        <w:pStyle w:val="BodyText"/>
        <w:spacing w:before="103"/>
        <w:rPr>
          <w:rFonts w:ascii="Calibri"/>
          <w:b/>
        </w:rPr>
      </w:pPr>
    </w:p>
    <w:p>
      <w:pPr>
        <w:pStyle w:val="BodyText"/>
        <w:spacing w:line="259" w:lineRule="auto"/>
        <w:ind w:left="882" w:right="7722"/>
      </w:pPr>
      <w:r>
        <w:rPr>
          <w:color w:val="FFFFFF"/>
        </w:rPr>
        <w:t>University of South Florida </w:t>
      </w:r>
      <w:r>
        <w:rPr>
          <w:color w:val="FFFFFF"/>
          <w:w w:val="85"/>
        </w:rPr>
        <w:t>| </w:t>
      </w:r>
      <w:r>
        <w:rPr>
          <w:color w:val="FFFFFF"/>
        </w:rPr>
        <w:t>Graduated: May 2013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2026-02-15T11:49:39Z</dcterms:created>
  <dcterms:modified xsi:type="dcterms:W3CDTF">2026-02-15T11:49:39Z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