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2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position w:val="18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4762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4E4E83"/>
                        </a:solidFill>
                      </wps:spPr>
                      <wps:txbx>
                        <w:txbxContent>
                          <w:p>
                            <w:pPr>
                              <w:spacing w:before="213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2"/>
                              </w:rPr>
                              <w:t>PERSONAL</w:t>
                            </w:r>
                            <w:r>
                              <w:rPr>
                                <w:b/>
                                <w:color w:val="FFFFFF"/>
                                <w:spacing w:val="4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37.5pt;mso-position-horizontal-relative:char;mso-position-vertical-relative:line" type="#_x0000_t202" id="docshape1" filled="true" fillcolor="#4e4e83" stroked="false">
                <w10:anchorlock/>
                <v:textbox inset="0,0,0,0">
                  <w:txbxContent>
                    <w:p>
                      <w:pPr>
                        <w:spacing w:before="213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sz w:val="22"/>
                        </w:rPr>
                        <w:t>PERSONAL</w:t>
                      </w:r>
                      <w:r>
                        <w:rPr>
                          <w:b/>
                          <w:color w:val="FFFFFF"/>
                          <w:spacing w:val="45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2"/>
                        </w:rPr>
                        <w:t>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mc:AlternateContent>
          <mc:Choice Requires="wps">
            <w:drawing>
              <wp:inline distT="0" distB="0" distL="0" distR="0">
                <wp:extent cx="4653915" cy="36195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36195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23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4E4E83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4E4E83"/>
                                <w:spacing w:val="66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4E4E83"/>
                                <w:spacing w:val="-2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28.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23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4E4E83"/>
                          <w:sz w:val="22"/>
                        </w:rPr>
                        <w:t>PROFESSIONAL</w:t>
                      </w:r>
                      <w:r>
                        <w:rPr>
                          <w:b/>
                          <w:color w:val="4E4E83"/>
                          <w:spacing w:val="66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4E4E83"/>
                          <w:spacing w:val="-2"/>
                          <w:sz w:val="22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position w:val="18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352425</wp:posOffset>
            </wp:positionH>
            <wp:positionV relativeFrom="paragraph">
              <wp:posOffset>-35537</wp:posOffset>
            </wp:positionV>
            <wp:extent cx="224283" cy="219074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3" cy="219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(555)</w:t>
      </w:r>
      <w:r>
        <w:rPr>
          <w:spacing w:val="16"/>
        </w:rPr>
        <w:t> </w:t>
      </w:r>
      <w:r>
        <w:rPr/>
        <w:t>678-</w:t>
      </w:r>
      <w:r>
        <w:rPr>
          <w:spacing w:val="-4"/>
        </w:rPr>
        <w:t>2345</w:t>
      </w:r>
    </w:p>
    <w:p>
      <w:pPr>
        <w:pStyle w:val="BodyText"/>
        <w:spacing w:before="14"/>
        <w:ind w:left="555"/>
      </w:pPr>
      <w:r>
        <w:rPr/>
        <w:br w:type="column"/>
      </w:r>
      <w:r>
        <w:rPr/>
        <w:t>SaaS</w:t>
      </w:r>
      <w:r>
        <w:rPr>
          <w:spacing w:val="31"/>
        </w:rPr>
        <w:t> </w:t>
      </w:r>
      <w:r>
        <w:rPr/>
        <w:t>Sales</w:t>
      </w:r>
      <w:r>
        <w:rPr>
          <w:spacing w:val="34"/>
        </w:rPr>
        <w:t> </w:t>
      </w:r>
      <w:r>
        <w:rPr/>
        <w:t>Executive</w:t>
      </w:r>
      <w:r>
        <w:rPr>
          <w:spacing w:val="33"/>
        </w:rPr>
        <w:t> </w:t>
      </w:r>
      <w:r>
        <w:rPr>
          <w:position w:val="2"/>
        </w:rPr>
        <w:t>|</w:t>
      </w:r>
      <w:r>
        <w:rPr>
          <w:spacing w:val="33"/>
          <w:position w:val="2"/>
        </w:rPr>
        <w:t> </w:t>
      </w:r>
      <w:r>
        <w:rPr/>
        <w:t>Cloud</w:t>
      </w:r>
      <w:r>
        <w:rPr>
          <w:spacing w:val="32"/>
        </w:rPr>
        <w:t> </w:t>
      </w:r>
      <w:r>
        <w:rPr/>
        <w:t>Solutions</w:t>
      </w:r>
      <w:r>
        <w:rPr>
          <w:spacing w:val="33"/>
        </w:rPr>
        <w:t> </w:t>
      </w:r>
      <w:r>
        <w:rPr/>
        <w:t>Inc.</w:t>
      </w:r>
      <w:r>
        <w:rPr>
          <w:spacing w:val="34"/>
        </w:rPr>
        <w:t> </w:t>
      </w:r>
      <w:r>
        <w:rPr>
          <w:position w:val="2"/>
        </w:rPr>
        <w:t>|</w:t>
      </w:r>
      <w:r>
        <w:rPr>
          <w:spacing w:val="33"/>
          <w:position w:val="2"/>
        </w:rPr>
        <w:t> </w:t>
      </w:r>
      <w:r>
        <w:rPr/>
        <w:t>San</w:t>
      </w:r>
      <w:r>
        <w:rPr>
          <w:spacing w:val="32"/>
        </w:rPr>
        <w:t> </w:t>
      </w:r>
      <w:r>
        <w:rPr/>
        <w:t>Francisco,</w:t>
      </w:r>
      <w:r>
        <w:rPr>
          <w:spacing w:val="33"/>
        </w:rPr>
        <w:t> </w:t>
      </w:r>
      <w:r>
        <w:rPr>
          <w:spacing w:val="-5"/>
        </w:rPr>
        <w:t>CA</w:t>
      </w:r>
    </w:p>
    <w:p>
      <w:pPr>
        <w:pStyle w:val="BodyText"/>
        <w:spacing w:before="40"/>
        <w:ind w:left="555"/>
      </w:pPr>
      <w:r>
        <w:rPr/>
        <w:t>June</w:t>
      </w:r>
      <w:r>
        <w:rPr>
          <w:spacing w:val="20"/>
        </w:rPr>
        <w:t> </w:t>
      </w:r>
      <w:r>
        <w:rPr/>
        <w:t>2020</w:t>
      </w:r>
      <w:r>
        <w:rPr>
          <w:spacing w:val="20"/>
        </w:rPr>
        <w:t> </w:t>
      </w:r>
      <w:r>
        <w:rPr/>
        <w:t>–</w:t>
      </w:r>
      <w:r>
        <w:rPr>
          <w:spacing w:val="20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90" w:space="1519"/>
            <w:col w:w="8011"/>
          </w:cols>
        </w:sectPr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-45029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3.545602pt;width:17.7pt;height:20.350pt;mso-position-horizontal-relative:page;mso-position-vertical-relative:paragraph;z-index:15731200" id="docshape3" coordorigin="555,-71" coordsize="354,407" path="m790,-19l673,-19,732,-71,790,-19xm908,336l555,336,555,85,617,30,617,-19,846,-19,846,2,638,2,638,106,576,106,576,294,598,294,576,315,908,315,908,336xm795,190l773,190,825,144,825,2,846,2,846,30,908,85,908,106,887,106,795,190xm804,44l659,44,659,23,804,23,804,44xm804,85l659,85,659,65,804,65,804,85xm598,294l576,294,680,200,576,106,638,106,638,144,690,190,795,190,784,200,789,205,693,205,598,294xm804,127l659,127,659,106,804,106,804,127xm908,294l887,294,887,106,908,106,908,294xm908,315l887,315,770,205,789,205,887,294,908,294,908,31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brian.mitchell@email.com</w:t>
        </w:r>
      </w:hyperlink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352430</wp:posOffset>
            </wp:positionH>
            <wp:positionV relativeFrom="paragraph">
              <wp:posOffset>-18093</wp:posOffset>
            </wp:positionV>
            <wp:extent cx="224183" cy="19411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LinkedIn</w:t>
      </w:r>
      <w:r>
        <w:rPr>
          <w:spacing w:val="9"/>
        </w:rPr>
        <w:t> </w:t>
      </w:r>
      <w:r>
        <w:rPr/>
        <w:t>|</w:t>
      </w:r>
      <w:r>
        <w:rPr>
          <w:spacing w:val="10"/>
        </w:rPr>
        <w:t> </w:t>
      </w:r>
      <w:r>
        <w:rPr>
          <w:spacing w:val="-2"/>
        </w:rPr>
        <w:t>Portfolio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75" w:after="0"/>
        <w:ind w:left="852" w:right="414" w:hanging="298"/>
        <w:jc w:val="left"/>
        <w:rPr>
          <w:b/>
          <w:sz w:val="18"/>
        </w:rPr>
      </w:pPr>
      <w:r>
        <w:rPr/>
        <w:br w:type="column"/>
      </w:r>
      <w:r>
        <w:rPr>
          <w:w w:val="105"/>
          <w:sz w:val="18"/>
        </w:rPr>
        <w:t>Increased annual revenue by </w:t>
      </w:r>
      <w:r>
        <w:rPr>
          <w:b/>
          <w:w w:val="105"/>
          <w:sz w:val="18"/>
        </w:rPr>
        <w:t>40% </w:t>
      </w:r>
      <w:r>
        <w:rPr>
          <w:w w:val="105"/>
          <w:sz w:val="18"/>
        </w:rPr>
        <w:t>through strategic </w:t>
      </w:r>
      <w:r>
        <w:rPr>
          <w:b/>
          <w:w w:val="105"/>
          <w:sz w:val="18"/>
        </w:rPr>
        <w:t>upselling and cross-</w:t>
      </w:r>
      <w:r>
        <w:rPr>
          <w:b/>
          <w:spacing w:val="-2"/>
          <w:w w:val="105"/>
          <w:sz w:val="18"/>
        </w:rPr>
        <w:t>selling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81" w:after="0"/>
        <w:ind w:left="852" w:right="740" w:hanging="298"/>
        <w:jc w:val="left"/>
        <w:rPr>
          <w:b/>
          <w:sz w:val="18"/>
        </w:rPr>
      </w:pPr>
      <w:r>
        <w:rPr>
          <w:w w:val="105"/>
          <w:sz w:val="18"/>
        </w:rPr>
        <w:t>Managed an over </w:t>
      </w:r>
      <w:r>
        <w:rPr>
          <w:b/>
          <w:w w:val="105"/>
          <w:sz w:val="18"/>
        </w:rPr>
        <w:t>$2 million client portfolio</w:t>
      </w:r>
      <w:r>
        <w:rPr>
          <w:w w:val="105"/>
          <w:sz w:val="18"/>
        </w:rPr>
        <w:t>, ensuring </w:t>
      </w:r>
      <w:r>
        <w:rPr>
          <w:b/>
          <w:w w:val="105"/>
          <w:sz w:val="18"/>
        </w:rPr>
        <w:t>95% customer </w:t>
      </w:r>
      <w:r>
        <w:rPr>
          <w:b/>
          <w:spacing w:val="-2"/>
          <w:w w:val="105"/>
          <w:sz w:val="18"/>
        </w:rPr>
        <w:t>retention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240" w:lineRule="auto" w:before="58" w:after="0"/>
        <w:ind w:left="851" w:right="0" w:hanging="296"/>
        <w:jc w:val="left"/>
        <w:rPr>
          <w:b/>
          <w:sz w:val="18"/>
        </w:rPr>
      </w:pPr>
      <w:r>
        <w:rPr>
          <w:w w:val="105"/>
          <w:sz w:val="18"/>
        </w:rPr>
        <w:t>Led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technical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demos,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converting</w:t>
      </w:r>
      <w:r>
        <w:rPr>
          <w:spacing w:val="19"/>
          <w:w w:val="105"/>
          <w:sz w:val="18"/>
        </w:rPr>
        <w:t> </w:t>
      </w:r>
      <w:r>
        <w:rPr>
          <w:b/>
          <w:w w:val="105"/>
          <w:sz w:val="18"/>
        </w:rPr>
        <w:t>60%</w:t>
      </w:r>
      <w:r>
        <w:rPr>
          <w:b/>
          <w:spacing w:val="18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19"/>
          <w:w w:val="105"/>
          <w:sz w:val="18"/>
        </w:rPr>
        <w:t> </w:t>
      </w:r>
      <w:r>
        <w:rPr>
          <w:b/>
          <w:w w:val="105"/>
          <w:sz w:val="18"/>
        </w:rPr>
        <w:t>leads</w:t>
      </w:r>
      <w:r>
        <w:rPr>
          <w:b/>
          <w:spacing w:val="18"/>
          <w:w w:val="105"/>
          <w:sz w:val="18"/>
        </w:rPr>
        <w:t> </w:t>
      </w:r>
      <w:r>
        <w:rPr>
          <w:b/>
          <w:w w:val="105"/>
          <w:sz w:val="18"/>
        </w:rPr>
        <w:t>into</w:t>
      </w:r>
      <w:r>
        <w:rPr>
          <w:b/>
          <w:spacing w:val="18"/>
          <w:w w:val="105"/>
          <w:sz w:val="18"/>
        </w:rPr>
        <w:t> </w:t>
      </w:r>
      <w:r>
        <w:rPr>
          <w:b/>
          <w:w w:val="105"/>
          <w:sz w:val="18"/>
        </w:rPr>
        <w:t>paying</w:t>
      </w:r>
      <w:r>
        <w:rPr>
          <w:b/>
          <w:spacing w:val="19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clients</w:t>
      </w:r>
    </w:p>
    <w:p>
      <w:pPr>
        <w:pStyle w:val="ListParagraph"/>
        <w:spacing w:after="0" w:line="240" w:lineRule="auto"/>
        <w:jc w:val="left"/>
        <w:rPr>
          <w:b/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3240" w:space="985"/>
            <w:col w:w="7695"/>
          </w:cols>
        </w:sectPr>
      </w:pPr>
    </w:p>
    <w:p>
      <w:pPr>
        <w:pStyle w:val="BodyText"/>
        <w:spacing w:before="10"/>
        <w:rPr>
          <w:b/>
          <w:sz w:val="11"/>
        </w:rPr>
      </w:pPr>
    </w:p>
    <w:p>
      <w:pPr>
        <w:pStyle w:val="BodyText"/>
        <w:spacing w:after="0"/>
        <w:rPr>
          <w:b/>
          <w:sz w:val="11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74"/>
        <w:ind w:left="1078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352425</wp:posOffset>
            </wp:positionH>
            <wp:positionV relativeFrom="paragraph">
              <wp:posOffset>11743</wp:posOffset>
            </wp:positionV>
            <wp:extent cx="224229" cy="219075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29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San</w:t>
      </w:r>
      <w:r>
        <w:rPr>
          <w:spacing w:val="12"/>
        </w:rPr>
        <w:t> </w:t>
      </w:r>
      <w:r>
        <w:rPr/>
        <w:t>Francisco,</w:t>
      </w:r>
      <w:r>
        <w:rPr>
          <w:spacing w:val="12"/>
        </w:rPr>
        <w:t> </w:t>
      </w:r>
      <w:r>
        <w:rPr>
          <w:spacing w:val="-5"/>
        </w:rPr>
        <w:t>CA</w:t>
      </w:r>
    </w:p>
    <w:p>
      <w:pPr>
        <w:pStyle w:val="BodyText"/>
        <w:spacing w:before="138"/>
        <w:ind w:left="554"/>
      </w:pPr>
      <w:r>
        <w:rPr/>
        <w:br w:type="column"/>
      </w:r>
      <w:r>
        <w:rPr/>
        <w:t>Inside</w:t>
      </w:r>
      <w:r>
        <w:rPr>
          <w:spacing w:val="33"/>
        </w:rPr>
        <w:t> </w:t>
      </w:r>
      <w:r>
        <w:rPr/>
        <w:t>Sales</w:t>
      </w:r>
      <w:r>
        <w:rPr>
          <w:spacing w:val="34"/>
        </w:rPr>
        <w:t> </w:t>
      </w:r>
      <w:r>
        <w:rPr/>
        <w:t>Representative</w:t>
      </w:r>
      <w:r>
        <w:rPr>
          <w:spacing w:val="34"/>
        </w:rPr>
        <w:t> </w:t>
      </w:r>
      <w:r>
        <w:rPr>
          <w:position w:val="2"/>
        </w:rPr>
        <w:t>|</w:t>
      </w:r>
      <w:r>
        <w:rPr>
          <w:spacing w:val="35"/>
          <w:position w:val="2"/>
        </w:rPr>
        <w:t> </w:t>
      </w:r>
      <w:r>
        <w:rPr/>
        <w:t>TechSoft</w:t>
      </w:r>
      <w:r>
        <w:rPr>
          <w:spacing w:val="34"/>
        </w:rPr>
        <w:t> </w:t>
      </w:r>
      <w:r>
        <w:rPr/>
        <w:t>Solutions</w:t>
      </w:r>
      <w:r>
        <w:rPr>
          <w:spacing w:val="35"/>
        </w:rPr>
        <w:t>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San</w:t>
      </w:r>
      <w:r>
        <w:rPr>
          <w:spacing w:val="33"/>
        </w:rPr>
        <w:t> </w:t>
      </w:r>
      <w:r>
        <w:rPr/>
        <w:t>Jose,</w:t>
      </w:r>
      <w:r>
        <w:rPr>
          <w:spacing w:val="35"/>
        </w:rPr>
        <w:t> </w:t>
      </w:r>
      <w:r>
        <w:rPr>
          <w:spacing w:val="-5"/>
        </w:rPr>
        <w:t>CA</w:t>
      </w:r>
    </w:p>
    <w:p>
      <w:pPr>
        <w:pStyle w:val="BodyText"/>
        <w:spacing w:before="39"/>
        <w:ind w:left="554"/>
      </w:pPr>
      <w:r>
        <w:rPr>
          <w:w w:val="105"/>
        </w:rPr>
        <w:t>August</w:t>
      </w:r>
      <w:r>
        <w:rPr>
          <w:spacing w:val="6"/>
          <w:w w:val="105"/>
        </w:rPr>
        <w:t> </w:t>
      </w:r>
      <w:r>
        <w:rPr>
          <w:w w:val="105"/>
        </w:rPr>
        <w:t>2017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668" w:space="1240"/>
            <w:col w:w="8012"/>
          </w:cols>
        </w:sectPr>
      </w:pPr>
    </w:p>
    <w:p>
      <w:pPr>
        <w:pStyle w:val="BodyText"/>
        <w:spacing w:before="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1990725"/>
                                </a:moveTo>
                                <a:lnTo>
                                  <a:pt x="0" y="1990725"/>
                                </a:lnTo>
                                <a:lnTo>
                                  <a:pt x="0" y="2286000"/>
                                </a:lnTo>
                                <a:lnTo>
                                  <a:pt x="4901184" y="2286000"/>
                                </a:lnTo>
                                <a:lnTo>
                                  <a:pt x="4901184" y="1990725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647950"/>
                                </a:lnTo>
                                <a:lnTo>
                                  <a:pt x="0" y="2647950"/>
                                </a:lnTo>
                                <a:lnTo>
                                  <a:pt x="0" y="881061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285999"/>
                            <a:ext cx="24765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61950">
                                <a:moveTo>
                                  <a:pt x="247649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4E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1714500"/>
                          </a:xfrm>
                          <a:prstGeom prst="rect">
                            <a:avLst/>
                          </a:prstGeom>
                          <a:solidFill>
                            <a:srgbClr val="4E4E83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461"/>
                                <w:ind w:left="873" w:right="0" w:firstLine="0"/>
                                <w:jc w:val="left"/>
                                <w:rPr>
                                  <w:color w:val="000000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4E4E83"/>
                                  <w:spacing w:val="11"/>
                                  <w:sz w:val="74"/>
                                </w:rPr>
                                <w:t>Brian</w:t>
                              </w:r>
                              <w:r>
                                <w:rPr>
                                  <w:b/>
                                  <w:color w:val="4E4E83"/>
                                  <w:spacing w:val="32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color w:val="4E4E83"/>
                                  <w:spacing w:val="10"/>
                                  <w:sz w:val="74"/>
                                </w:rPr>
                                <w:t>Mitchell</w:t>
                              </w:r>
                            </w:p>
                            <w:p>
                              <w:pPr>
                                <w:spacing w:before="218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SaaS</w:t>
                              </w:r>
                              <w:r>
                                <w:rPr>
                                  <w:b/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sales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executive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expertise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enterprise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software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client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management</w:t>
                              </w:r>
                            </w:p>
                            <w:p>
                              <w:pPr>
                                <w:spacing w:line="273" w:lineRule="auto" w:before="26"/>
                                <w:ind w:left="873" w:right="601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Results-oriented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SaaS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sales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seven</w:t>
                              </w:r>
                              <w:r>
                                <w:rPr>
                                  <w:b/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b/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B2B</w:t>
                              </w:r>
                              <w:r>
                                <w:rPr>
                                  <w:b/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software</w:t>
                              </w:r>
                              <w:r>
                                <w:rPr>
                                  <w:b/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sales,</w:t>
                              </w:r>
                              <w:r>
                                <w:rPr>
                                  <w:b/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contract</w:t>
                              </w:r>
                              <w:r>
                                <w:rPr>
                                  <w:b/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negotiation,</w:t>
                              </w:r>
                              <w:r>
                                <w:rPr>
                                  <w:b/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and technical demonstrations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1376" id="docshapegroup4" coordorigin="0,0" coordsize="11919,16858">
                <v:shape style="position:absolute;left:4199;top:0;width:7719;height:16858" id="docshape5" coordorigin="4200,0" coordsize="7719,16858" path="m11918,3135l4200,3135,4200,3600,11918,3600,11918,3135xm11918,0l4200,0,4200,435,11918,435,11918,0xm11918,8360l11918,8360,11918,4170,4200,4170,4200,13875,4200,13875,4200,16858,11918,16858,11918,8360xe" filled="true" fillcolor="#f5f5f5" stroked="false">
                  <v:path arrowok="t"/>
                  <v:fill type="solid"/>
                </v:shape>
                <v:rect style="position:absolute;left:4200;top:3600;width:390;height:570" id="docshape6" filled="true" fillcolor="#4e4e83" stroked="false">
                  <v:fill type="solid"/>
                </v:rect>
                <v:shape style="position:absolute;left:0;top:435;width:11919;height:2700" type="#_x0000_t202" id="docshape7" filled="true" fillcolor="#4e4e83" stroked="false">
                  <v:textbox inset="0,0,0,0">
                    <w:txbxContent>
                      <w:p>
                        <w:pPr>
                          <w:spacing w:before="461"/>
                          <w:ind w:left="873" w:right="0" w:firstLine="0"/>
                          <w:jc w:val="left"/>
                          <w:rPr>
                            <w:color w:val="000000"/>
                            <w:sz w:val="74"/>
                          </w:rPr>
                        </w:pPr>
                        <w:r>
                          <w:rPr>
                            <w:b/>
                            <w:color w:val="4E4E83"/>
                            <w:spacing w:val="11"/>
                            <w:sz w:val="74"/>
                          </w:rPr>
                          <w:t>Brian</w:t>
                        </w:r>
                        <w:r>
                          <w:rPr>
                            <w:b/>
                            <w:color w:val="4E4E83"/>
                            <w:spacing w:val="32"/>
                            <w:sz w:val="74"/>
                          </w:rPr>
                          <w:t> </w:t>
                        </w:r>
                        <w:r>
                          <w:rPr>
                            <w:color w:val="4E4E83"/>
                            <w:spacing w:val="10"/>
                            <w:sz w:val="74"/>
                          </w:rPr>
                          <w:t>Mitchell</w:t>
                        </w:r>
                      </w:p>
                      <w:p>
                        <w:pPr>
                          <w:spacing w:before="218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SaaS</w:t>
                        </w:r>
                        <w:r>
                          <w:rPr>
                            <w:b/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sales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executive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expertise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enterprise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software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client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05"/>
                            <w:sz w:val="16"/>
                          </w:rPr>
                          <w:t>management</w:t>
                        </w:r>
                      </w:p>
                      <w:p>
                        <w:pPr>
                          <w:spacing w:line="273" w:lineRule="auto" w:before="26"/>
                          <w:ind w:left="873" w:right="601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Results-oriented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SaaS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sales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professional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seven</w:t>
                        </w:r>
                        <w:r>
                          <w:rPr>
                            <w:b/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b/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b/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b/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B2B</w:t>
                        </w:r>
                        <w:r>
                          <w:rPr>
                            <w:b/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software</w:t>
                        </w:r>
                        <w:r>
                          <w:rPr>
                            <w:b/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sales,</w:t>
                        </w:r>
                        <w:r>
                          <w:rPr>
                            <w:b/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contract</w:t>
                        </w:r>
                        <w:r>
                          <w:rPr>
                            <w:b/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negotiation,</w:t>
                        </w:r>
                        <w:r>
                          <w:rPr>
                            <w:b/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and technical demonstrations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5075" w:val="left" w:leader="none"/>
          <w:tab w:pos="5077" w:val="left" w:leader="none"/>
        </w:tabs>
        <w:spacing w:line="201" w:lineRule="auto" w:before="0" w:after="0"/>
        <w:ind w:left="5077" w:right="473" w:hanging="298"/>
        <w:jc w:val="left"/>
        <w:rPr>
          <w:b/>
          <w:sz w:val="18"/>
        </w:rPr>
      </w:pP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0</wp:posOffset>
                </wp:positionH>
                <wp:positionV relativeFrom="paragraph">
                  <wp:posOffset>-33307</wp:posOffset>
                </wp:positionV>
                <wp:extent cx="2324100" cy="476250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4E4E83"/>
                        </a:solidFill>
                      </wps:spPr>
                      <wps:txbx>
                        <w:txbxContent>
                          <w:p>
                            <w:pPr>
                              <w:spacing w:before="213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2.622671pt;width:183pt;height:37.5pt;mso-position-horizontal-relative:page;mso-position-vertical-relative:paragraph;z-index:15732736" type="#_x0000_t202" id="docshape8" filled="true" fillcolor="#4e4e83" stroked="false">
                <v:textbox inset="0,0,0,0">
                  <w:txbxContent>
                    <w:p>
                      <w:pPr>
                        <w:spacing w:before="213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2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Closed </w:t>
      </w:r>
      <w:r>
        <w:rPr>
          <w:b/>
          <w:w w:val="105"/>
          <w:sz w:val="18"/>
        </w:rPr>
        <w:t>$1.5 million in software sales annually</w:t>
      </w:r>
      <w:r>
        <w:rPr>
          <w:w w:val="105"/>
          <w:sz w:val="18"/>
        </w:rPr>
        <w:t>, exceeding sales targets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 </w:t>
      </w:r>
      <w:r>
        <w:rPr>
          <w:b/>
          <w:w w:val="105"/>
          <w:sz w:val="18"/>
        </w:rPr>
        <w:t>20%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240" w:lineRule="auto" w:before="43" w:after="0"/>
        <w:ind w:left="5076" w:right="0" w:hanging="296"/>
        <w:jc w:val="left"/>
        <w:rPr>
          <w:b/>
          <w:sz w:val="18"/>
        </w:rPr>
      </w:pPr>
      <w:r>
        <w:rPr>
          <w:w w:val="105"/>
          <w:sz w:val="18"/>
        </w:rPr>
        <w:t>Provided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consultative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solutions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b/>
          <w:w w:val="105"/>
          <w:sz w:val="18"/>
        </w:rPr>
        <w:t>mid-market</w:t>
      </w:r>
      <w:r>
        <w:rPr>
          <w:b/>
          <w:spacing w:val="16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14"/>
          <w:w w:val="105"/>
          <w:sz w:val="18"/>
        </w:rPr>
        <w:t> </w:t>
      </w:r>
      <w:r>
        <w:rPr>
          <w:b/>
          <w:w w:val="105"/>
          <w:sz w:val="18"/>
        </w:rPr>
        <w:t>enterprise</w:t>
      </w:r>
      <w:r>
        <w:rPr>
          <w:b/>
          <w:spacing w:val="1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clients</w:t>
      </w:r>
    </w:p>
    <w:p>
      <w:pPr>
        <w:pStyle w:val="BodyText"/>
        <w:spacing w:line="261" w:lineRule="auto" w:before="196"/>
        <w:ind w:left="557" w:right="8570"/>
      </w:pPr>
      <w:r>
        <w:rPr>
          <w:w w:val="105"/>
        </w:rPr>
        <w:t>May 2017 | Bachelor of Science in Marketing</w:t>
      </w:r>
    </w:p>
    <w:p>
      <w:pPr>
        <w:pStyle w:val="BodyText"/>
        <w:spacing w:before="106"/>
      </w:pPr>
    </w:p>
    <w:p>
      <w:pPr>
        <w:pStyle w:val="BodyText"/>
        <w:ind w:left="557"/>
      </w:pPr>
      <w:r>
        <w:rPr>
          <w:w w:val="105"/>
        </w:rPr>
        <w:t>University</w:t>
      </w:r>
      <w:r>
        <w:rPr>
          <w:spacing w:val="16"/>
          <w:w w:val="105"/>
        </w:rPr>
        <w:t> </w:t>
      </w:r>
      <w:r>
        <w:rPr>
          <w:w w:val="105"/>
        </w:rPr>
        <w:t>of</w:t>
      </w:r>
      <w:r>
        <w:rPr>
          <w:spacing w:val="16"/>
          <w:w w:val="105"/>
        </w:rPr>
        <w:t> </w:t>
      </w:r>
      <w:r>
        <w:rPr>
          <w:w w:val="105"/>
        </w:rPr>
        <w:t>California,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Berkeley</w:t>
      </w:r>
    </w:p>
    <w:p>
      <w:pPr>
        <w:pStyle w:val="BodyText"/>
        <w:spacing w:before="18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0</wp:posOffset>
                </wp:positionH>
                <wp:positionV relativeFrom="paragraph">
                  <wp:posOffset>281044</wp:posOffset>
                </wp:positionV>
                <wp:extent cx="2324100" cy="466725"/>
                <wp:effectExtent l="0" t="0" r="0" b="0"/>
                <wp:wrapTopAndBottom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466725"/>
                        </a:xfrm>
                        <a:prstGeom prst="rect">
                          <a:avLst/>
                        </a:prstGeom>
                        <a:solidFill>
                          <a:srgbClr val="4E4E83"/>
                        </a:solidFill>
                      </wps:spPr>
                      <wps:txbx>
                        <w:txbxContent>
                          <w:p>
                            <w:pPr>
                              <w:spacing w:before="213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2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1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2.129517pt;width:183pt;height:36.75pt;mso-position-horizontal-relative:page;mso-position-vertical-relative:paragraph;z-index:-15727616;mso-wrap-distance-left:0;mso-wrap-distance-right:0" type="#_x0000_t202" id="docshape9" filled="true" fillcolor="#4e4e83" stroked="false">
                <v:textbox inset="0,0,0,0">
                  <w:txbxContent>
                    <w:p>
                      <w:pPr>
                        <w:spacing w:before="213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sz w:val="22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17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2"/>
                        </w:rPr>
                        <w:t>SKILLS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30"/>
      </w:pP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0" w:after="0"/>
        <w:ind w:left="855" w:right="8678" w:hanging="298"/>
        <w:jc w:val="left"/>
        <w:rPr>
          <w:sz w:val="18"/>
        </w:rPr>
      </w:pPr>
      <w:r>
        <w:rPr>
          <w:w w:val="105"/>
          <w:sz w:val="18"/>
        </w:rPr>
        <w:t>2B SaaS sales and account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82" w:after="0"/>
        <w:ind w:left="855" w:right="9085" w:hanging="298"/>
        <w:jc w:val="left"/>
        <w:rPr>
          <w:sz w:val="18"/>
        </w:rPr>
      </w:pPr>
      <w:r>
        <w:rPr>
          <w:w w:val="105"/>
          <w:sz w:val="18"/>
        </w:rPr>
        <w:t>CRM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tools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(Salesforce, </w:t>
      </w:r>
      <w:r>
        <w:rPr>
          <w:spacing w:val="-2"/>
          <w:w w:val="105"/>
          <w:sz w:val="18"/>
        </w:rPr>
        <w:t>HubSpot)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109" w:after="0"/>
        <w:ind w:left="855" w:right="8992" w:hanging="298"/>
        <w:jc w:val="left"/>
        <w:rPr>
          <w:sz w:val="18"/>
        </w:rPr>
      </w:pPr>
      <w:r>
        <w:rPr>
          <w:w w:val="105"/>
          <w:sz w:val="18"/>
        </w:rPr>
        <w:t>Consultative selling and solution-based sales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98" w:after="0"/>
        <w:ind w:left="855" w:right="8806" w:hanging="298"/>
        <w:jc w:val="left"/>
        <w:rPr>
          <w:sz w:val="18"/>
        </w:rPr>
      </w:pPr>
      <w:r>
        <w:rPr>
          <w:w w:val="105"/>
          <w:sz w:val="18"/>
        </w:rPr>
        <w:t>Pipeline development and contract negotiation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brian.mitchel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2026-02-20T11:43:43Z</dcterms:created>
  <dcterms:modified xsi:type="dcterms:W3CDTF">2026-02-20T11:43:43Z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