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0" w:right="15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Nathan</w:t>
      </w:r>
      <w:r>
        <w:rPr>
          <w:rFonts w:ascii="Calibri"/>
          <w:b/>
          <w:color w:val="FFFFFF"/>
          <w:spacing w:val="73"/>
          <w:w w:val="125"/>
          <w:sz w:val="70"/>
        </w:rPr>
        <w:t> </w:t>
      </w:r>
      <w:r>
        <w:rPr>
          <w:rFonts w:ascii="Calibri"/>
          <w:color w:val="FFFFFF"/>
          <w:spacing w:val="7"/>
          <w:w w:val="125"/>
          <w:sz w:val="70"/>
        </w:rPr>
        <w:t>Coleman</w:t>
      </w:r>
    </w:p>
    <w:p>
      <w:pPr>
        <w:pStyle w:val="Heading2"/>
      </w:pPr>
      <w:r>
        <w:rPr>
          <w:color w:val="FFFFFF"/>
          <w:w w:val="130"/>
        </w:rPr>
        <w:t>Intellectual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Property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pStyle w:val="BodyText"/>
        <w:spacing w:before="174"/>
        <w:rPr>
          <w:rFonts w:ascii="Calibri"/>
          <w:b/>
        </w:rPr>
      </w:pPr>
    </w:p>
    <w:p>
      <w:pPr>
        <w:pStyle w:val="BodyText"/>
        <w:spacing w:line="268" w:lineRule="auto" w:before="1"/>
        <w:ind w:left="448"/>
      </w:pPr>
      <w:r>
        <w:rPr>
          <w:color w:val="FFFFFF"/>
          <w:w w:val="120"/>
        </w:rPr>
        <w:t>Accomplished intellectual property attorney with seven years of experience in patent prosecution, trademark disputes, and copyright infringement cases. Skilled in representing corporations and startups in protecting their intellectual assets.</w:t>
      </w:r>
    </w:p>
    <w:p>
      <w:pPr>
        <w:pStyle w:val="BodyText"/>
        <w:rPr>
          <w:sz w:val="20"/>
        </w:rPr>
      </w:pPr>
    </w:p>
    <w:p>
      <w:pPr>
        <w:pStyle w:val="BodyText"/>
        <w:spacing w:before="2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283"/>
        </w:sectPr>
      </w:pPr>
    </w:p>
    <w:p>
      <w:pPr>
        <w:pStyle w:val="BodyText"/>
        <w:spacing w:before="68"/>
      </w:pPr>
    </w:p>
    <w:p>
      <w:pPr>
        <w:pStyle w:val="Heading1"/>
      </w:pPr>
      <w:r>
        <w:rPr>
          <w:smallCaps/>
          <w:color w:val="384D6A"/>
          <w:spacing w:val="2"/>
          <w:w w:val="115"/>
        </w:rPr>
        <w:t>Personal</w:t>
      </w:r>
      <w:r>
        <w:rPr>
          <w:smallCaps/>
          <w:color w:val="384D6A"/>
          <w:spacing w:val="54"/>
          <w:w w:val="115"/>
        </w:rPr>
        <w:t> </w:t>
      </w:r>
      <w:r>
        <w:rPr>
          <w:smallCaps/>
          <w:color w:val="384D6A"/>
          <w:spacing w:val="-2"/>
          <w:w w:val="110"/>
        </w:rPr>
        <w:t>Information</w:t>
      </w:r>
    </w:p>
    <w:p>
      <w:pPr>
        <w:pStyle w:val="BodyText"/>
        <w:spacing w:before="49"/>
        <w:rPr>
          <w:rFonts w:ascii="Calibri"/>
          <w:b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38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384D6A"/>
          <w:spacing w:val="2"/>
          <w:w w:val="115"/>
        </w:rPr>
        <w:t>Professional</w:t>
      </w:r>
      <w:r>
        <w:rPr>
          <w:smallCaps/>
          <w:color w:val="384D6A"/>
          <w:spacing w:val="63"/>
          <w:w w:val="115"/>
        </w:rPr>
        <w:t> </w:t>
      </w:r>
      <w:r>
        <w:rPr>
          <w:smallCaps/>
          <w:color w:val="384D6A"/>
          <w:spacing w:val="-2"/>
          <w:w w:val="115"/>
        </w:rPr>
        <w:t>Experience</w:t>
      </w:r>
    </w:p>
    <w:p>
      <w:pPr>
        <w:spacing w:line="264" w:lineRule="auto" w:before="138"/>
        <w:ind w:left="355" w:right="0" w:firstLine="0"/>
        <w:jc w:val="left"/>
        <w:rPr>
          <w:sz w:val="18"/>
        </w:rPr>
      </w:pPr>
      <w:r>
        <w:rPr>
          <w:w w:val="120"/>
          <w:sz w:val="18"/>
        </w:rPr>
        <w:t>SENIOR INTELLECTUAL PROPERTY ATTORNEY </w:t>
      </w:r>
      <w:r>
        <w:rPr>
          <w:w w:val="120"/>
          <w:position w:val="1"/>
          <w:sz w:val="18"/>
        </w:rPr>
        <w:t>|</w:t>
      </w:r>
      <w:r>
        <w:rPr>
          <w:w w:val="120"/>
          <w:position w:val="1"/>
          <w:sz w:val="18"/>
        </w:rPr>
        <w:t> </w:t>
      </w:r>
      <w:r>
        <w:rPr>
          <w:w w:val="120"/>
          <w:sz w:val="18"/>
        </w:rPr>
        <w:t>TECH INNOVATIONS LEGAL GROUP | BOSTON, MA</w:t>
      </w:r>
    </w:p>
    <w:p>
      <w:pPr>
        <w:spacing w:before="7"/>
        <w:ind w:left="355" w:right="0" w:firstLine="0"/>
        <w:jc w:val="left"/>
        <w:rPr>
          <w:sz w:val="18"/>
        </w:rPr>
      </w:pPr>
      <w:r>
        <w:rPr>
          <w:w w:val="120"/>
          <w:sz w:val="18"/>
        </w:rPr>
        <w:t>OCTOBER</w:t>
      </w:r>
      <w:r>
        <w:rPr>
          <w:spacing w:val="2"/>
          <w:w w:val="120"/>
          <w:sz w:val="18"/>
        </w:rPr>
        <w:t> </w:t>
      </w:r>
      <w:r>
        <w:rPr>
          <w:w w:val="120"/>
          <w:sz w:val="18"/>
        </w:rPr>
        <w:t>2016</w:t>
      </w:r>
      <w:r>
        <w:rPr>
          <w:spacing w:val="2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2"/>
          <w:w w:val="120"/>
          <w:sz w:val="18"/>
        </w:rPr>
        <w:t> </w:t>
      </w:r>
      <w:r>
        <w:rPr>
          <w:spacing w:val="-2"/>
          <w:w w:val="120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642" w:space="1097"/>
            <w:col w:w="7473"/>
          </w:cols>
        </w:sectPr>
      </w:pPr>
    </w:p>
    <w:p>
      <w:pPr>
        <w:spacing w:before="89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0"/>
            <w:sz w:val="18"/>
          </w:rPr>
          <w:t>email@email.com</w:t>
        </w:r>
      </w:hyperlink>
    </w:p>
    <w:p>
      <w:pPr>
        <w:spacing w:line="520" w:lineRule="atLeast" w:before="35"/>
        <w:ind w:left="913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LinkedIn | Portfolio </w:t>
      </w:r>
      <w:r>
        <w:rPr>
          <w:color w:val="424242"/>
          <w:w w:val="125"/>
          <w:sz w:val="18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5" w:lineRule="auto" w:before="159" w:after="0"/>
        <w:ind w:left="1211" w:right="415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6"/>
        </w:rPr>
        <w:t>Represented clients in over 100 trademark disputes, securing favorable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rulings in 90% of cases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43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6"/>
        </w:rPr>
        <w:t>Manage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patent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filings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licensing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agreements</w:t>
      </w:r>
      <w:r>
        <w:rPr>
          <w:spacing w:val="33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technology</w:t>
      </w:r>
      <w:r>
        <w:rPr>
          <w:spacing w:val="33"/>
          <w:w w:val="120"/>
          <w:sz w:val="16"/>
        </w:rPr>
        <w:t> </w:t>
      </w:r>
      <w:r>
        <w:rPr>
          <w:spacing w:val="-2"/>
          <w:w w:val="120"/>
          <w:sz w:val="16"/>
        </w:rPr>
        <w:t>startups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6"/>
        </w:rPr>
        <w:t>Advise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corporations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on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IP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strategy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risk</w:t>
      </w:r>
      <w:r>
        <w:rPr>
          <w:spacing w:val="18"/>
          <w:w w:val="120"/>
          <w:sz w:val="16"/>
        </w:rPr>
        <w:t> </w:t>
      </w:r>
      <w:r>
        <w:rPr>
          <w:spacing w:val="-2"/>
          <w:w w:val="120"/>
          <w:sz w:val="16"/>
        </w:rPr>
        <w:t>management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283"/>
          <w:cols w:num="2" w:equalWidth="0">
            <w:col w:w="2840" w:space="676"/>
            <w:col w:w="7696"/>
          </w:cols>
        </w:sectPr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spacing w:before="1"/>
      </w:pPr>
      <w:r>
        <w:rPr>
          <w:smallCaps/>
          <w:color w:val="384D6A"/>
          <w:w w:val="125"/>
        </w:rPr>
        <w:t>Key</w:t>
      </w:r>
      <w:r>
        <w:rPr>
          <w:smallCaps/>
          <w:color w:val="384D6A"/>
          <w:spacing w:val="14"/>
          <w:w w:val="125"/>
        </w:rPr>
        <w:t> </w:t>
      </w:r>
      <w:r>
        <w:rPr>
          <w:smallCaps/>
          <w:color w:val="384D6A"/>
          <w:spacing w:val="-2"/>
          <w:w w:val="125"/>
        </w:rPr>
        <w:t>Skills</w:t>
      </w:r>
    </w:p>
    <w:p>
      <w:pPr>
        <w:spacing w:line="280" w:lineRule="auto" w:before="123"/>
        <w:ind w:left="114" w:right="1474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LEGAL ASSOCIATE </w:t>
      </w:r>
      <w:r>
        <w:rPr>
          <w:w w:val="120"/>
          <w:position w:val="1"/>
          <w:sz w:val="18"/>
        </w:rPr>
        <w:t>|</w:t>
      </w:r>
      <w:r>
        <w:rPr>
          <w:w w:val="120"/>
          <w:position w:val="1"/>
          <w:sz w:val="18"/>
        </w:rPr>
        <w:t> </w:t>
      </w:r>
      <w:r>
        <w:rPr>
          <w:w w:val="120"/>
          <w:sz w:val="18"/>
        </w:rPr>
        <w:t>WILSON &amp; GREENE LLP | BOSTON, MA </w:t>
      </w:r>
      <w:r>
        <w:rPr>
          <w:w w:val="125"/>
          <w:sz w:val="18"/>
        </w:rPr>
        <w:t>JULY 2014 </w:t>
      </w:r>
      <w:r>
        <w:rPr>
          <w:w w:val="140"/>
          <w:sz w:val="18"/>
        </w:rPr>
        <w:t>– </w:t>
      </w:r>
      <w:r>
        <w:rPr>
          <w:w w:val="125"/>
          <w:sz w:val="18"/>
        </w:rPr>
        <w:t>SEPTEMBER 2016</w:t>
      </w:r>
    </w:p>
    <w:p>
      <w:pPr>
        <w:spacing w:after="0" w:line="280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1301" w:space="2680"/>
            <w:col w:w="7231"/>
          </w:cols>
        </w:sectPr>
      </w:pP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181" w:after="0"/>
        <w:ind w:left="764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Patent prosecution and </w:t>
      </w:r>
      <w:r>
        <w:rPr>
          <w:color w:val="424242"/>
          <w:spacing w:val="-2"/>
          <w:w w:val="120"/>
          <w:sz w:val="18"/>
        </w:rPr>
        <w:t>litigation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22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Trademark</w:t>
      </w:r>
      <w:r>
        <w:rPr>
          <w:color w:val="424242"/>
          <w:spacing w:val="51"/>
          <w:w w:val="120"/>
          <w:sz w:val="18"/>
        </w:rPr>
        <w:t> </w:t>
      </w:r>
      <w:r>
        <w:rPr>
          <w:color w:val="424242"/>
          <w:spacing w:val="-5"/>
          <w:w w:val="120"/>
          <w:sz w:val="18"/>
        </w:rPr>
        <w:t>law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Copyright</w:t>
      </w:r>
      <w:r>
        <w:rPr>
          <w:color w:val="424242"/>
          <w:spacing w:val="25"/>
          <w:w w:val="120"/>
          <w:sz w:val="18"/>
        </w:rPr>
        <w:t> </w:t>
      </w:r>
      <w:r>
        <w:rPr>
          <w:color w:val="424242"/>
          <w:spacing w:val="-5"/>
          <w:w w:val="120"/>
          <w:sz w:val="18"/>
        </w:rPr>
        <w:t>law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Licensing</w:t>
      </w:r>
      <w:r>
        <w:rPr>
          <w:color w:val="424242"/>
          <w:spacing w:val="37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agreements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9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Intellectual property portfolio management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82" w:lineRule="auto" w:before="60" w:after="0"/>
        <w:ind w:left="764" w:right="136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20"/>
          <w:sz w:val="16"/>
        </w:rPr>
        <w:t>Assisted in patent prosecution and conducted IP due diligence for mergers</w:t>
      </w:r>
      <w:r>
        <w:rPr>
          <w:spacing w:val="80"/>
          <w:w w:val="120"/>
          <w:sz w:val="16"/>
        </w:rPr>
        <w:t> </w:t>
      </w:r>
      <w:r>
        <w:rPr>
          <w:w w:val="120"/>
          <w:sz w:val="16"/>
        </w:rPr>
        <w:t>and acquisitions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68" w:lineRule="auto" w:before="110" w:after="0"/>
        <w:ind w:left="764" w:right="478" w:hanging="298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6"/>
        </w:rPr>
        <w:t>Conducted research on copyright infringement cases and drafted legal</w:t>
      </w:r>
      <w:r>
        <w:rPr>
          <w:spacing w:val="80"/>
          <w:w w:val="120"/>
          <w:sz w:val="16"/>
        </w:rPr>
        <w:t> </w:t>
      </w:r>
      <w:r>
        <w:rPr>
          <w:spacing w:val="-2"/>
          <w:w w:val="120"/>
          <w:sz w:val="16"/>
        </w:rPr>
        <w:t>opinions</w:t>
      </w:r>
    </w:p>
    <w:p>
      <w:pPr>
        <w:pStyle w:val="ListParagraph"/>
        <w:spacing w:after="0" w:line="168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283"/>
          <w:cols w:num="2" w:equalWidth="0">
            <w:col w:w="3012" w:space="950"/>
            <w:col w:w="7250"/>
          </w:cols>
        </w:sectPr>
      </w:pPr>
    </w:p>
    <w:p>
      <w:pPr>
        <w:pStyle w:val="BodyText"/>
        <w:spacing w:before="1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858" y="1289644"/>
                            <a:ext cx="4385077" cy="1201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384d6a" stroked="false">
                  <v:fill type="solid"/>
                </v:rect>
                <v:shape style="position:absolute;left:881;top:2030;width:6906;height:190" type="#_x0000_t75" id="docshape4" stroked="false">
                  <v:imagedata r:id="rId6" o:title=""/>
                </v:shape>
                <v:shape style="position:absolute;left:900;top:4125;width:255;height:261" type="#_x0000_t75" id="docshape5" stroked="false">
                  <v:imagedata r:id="rId7" o:title=""/>
                </v:shape>
                <v:shape style="position:absolute;left:900;top:4635;width:255;height:300" type="#_x0000_t75" id="docshape6" stroked="false">
                  <v:imagedata r:id="rId8" o:title=""/>
                </v:shape>
                <v:shape style="position:absolute;left:900;top:5220;width:256;height:226" type="#_x0000_t75" id="docshape7" stroked="false">
                  <v:imagedata r:id="rId9" o:title=""/>
                </v:shape>
                <v:shape style="position:absolute;left:900;top:5730;width:255;height:255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384D6A"/>
          <w:spacing w:val="-2"/>
          <w:w w:val="115"/>
        </w:rPr>
        <w:t>Education</w:t>
      </w:r>
    </w:p>
    <w:p>
      <w:pPr>
        <w:pStyle w:val="BodyText"/>
        <w:spacing w:before="34"/>
        <w:rPr>
          <w:rFonts w:ascii="Calibri"/>
          <w:b/>
        </w:rPr>
      </w:pPr>
    </w:p>
    <w:p>
      <w:pPr>
        <w:spacing w:line="264" w:lineRule="auto" w:before="0"/>
        <w:ind w:left="467" w:right="8283" w:firstLine="0"/>
        <w:jc w:val="left"/>
        <w:rPr>
          <w:sz w:val="18"/>
        </w:rPr>
      </w:pPr>
      <w:r>
        <w:rPr>
          <w:color w:val="424242"/>
          <w:w w:val="125"/>
          <w:sz w:val="18"/>
        </w:rPr>
        <w:t>Juris Doctor (J.D.) Harvard</w:t>
      </w:r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Law</w:t>
      </w:r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School</w:t>
      </w:r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| </w:t>
      </w:r>
      <w:r>
        <w:rPr>
          <w:color w:val="424242"/>
          <w:w w:val="120"/>
          <w:sz w:val="18"/>
        </w:rPr>
        <w:t>Cambridge,</w:t>
      </w:r>
      <w:r>
        <w:rPr>
          <w:color w:val="424242"/>
          <w:spacing w:val="18"/>
          <w:w w:val="120"/>
          <w:sz w:val="18"/>
        </w:rPr>
        <w:t> </w:t>
      </w:r>
      <w:r>
        <w:rPr>
          <w:color w:val="424242"/>
          <w:w w:val="120"/>
          <w:sz w:val="18"/>
        </w:rPr>
        <w:t>MA</w:t>
      </w:r>
      <w:r>
        <w:rPr>
          <w:color w:val="424242"/>
          <w:spacing w:val="19"/>
          <w:w w:val="120"/>
          <w:sz w:val="18"/>
        </w:rPr>
        <w:t> </w:t>
      </w:r>
      <w:r>
        <w:rPr>
          <w:color w:val="424242"/>
          <w:w w:val="120"/>
          <w:sz w:val="18"/>
        </w:rPr>
        <w:t>|</w:t>
      </w:r>
      <w:r>
        <w:rPr>
          <w:color w:val="424242"/>
          <w:spacing w:val="19"/>
          <w:w w:val="120"/>
          <w:sz w:val="18"/>
        </w:rPr>
        <w:t> </w:t>
      </w:r>
      <w:r>
        <w:rPr>
          <w:color w:val="424242"/>
          <w:spacing w:val="-4"/>
          <w:w w:val="110"/>
          <w:sz w:val="18"/>
        </w:rPr>
        <w:t>2014</w:t>
      </w:r>
    </w:p>
    <w:p>
      <w:pPr>
        <w:pStyle w:val="BodyText"/>
        <w:spacing w:before="67"/>
        <w:rPr>
          <w:sz w:val="18"/>
        </w:rPr>
      </w:pPr>
    </w:p>
    <w:p>
      <w:pPr>
        <w:spacing w:line="264" w:lineRule="auto" w:before="1"/>
        <w:ind w:left="467" w:right="8283" w:firstLine="0"/>
        <w:jc w:val="left"/>
        <w:rPr>
          <w:sz w:val="18"/>
        </w:rPr>
      </w:pPr>
      <w:r>
        <w:rPr>
          <w:color w:val="424242"/>
          <w:w w:val="120"/>
          <w:sz w:val="18"/>
        </w:rPr>
        <w:t>Bachelor of Science in Electrical Engineering Massachusetts Institute of Technology (MIT) | Cambridge, MA | 2011</w:t>
      </w:r>
    </w:p>
    <w:sectPr>
      <w:type w:val="continuous"/>
      <w:pgSz w:w="11920" w:h="16860"/>
      <w:pgMar w:top="5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4" w:right="150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4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2026-02-12T22:30:03Z</dcterms:created>
  <dcterms:modified xsi:type="dcterms:W3CDTF">2026-02-12T22:30:03Z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