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669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(000)</w:t>
      </w:r>
      <w:r>
        <w:rPr>
          <w:color w:val="FFFFFF"/>
          <w:spacing w:val="47"/>
          <w:w w:val="120"/>
          <w:sz w:val="16"/>
        </w:rPr>
        <w:t> </w:t>
      </w:r>
      <w:r>
        <w:rPr>
          <w:color w:val="FFFFFF"/>
          <w:w w:val="120"/>
          <w:sz w:val="16"/>
        </w:rPr>
        <w:t>000-0000</w:t>
      </w:r>
      <w:r>
        <w:rPr>
          <w:color w:val="FFFFFF"/>
          <w:spacing w:val="61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20"/>
          <w:sz w:val="18"/>
        </w:rPr>
        <w:t> </w:t>
      </w:r>
      <w:hyperlink r:id="rId5">
        <w:r>
          <w:rPr>
            <w:color w:val="FFFFFF"/>
            <w:w w:val="120"/>
            <w:sz w:val="16"/>
          </w:rPr>
          <w:t>email@example.com</w:t>
        </w:r>
      </w:hyperlink>
      <w:r>
        <w:rPr>
          <w:color w:val="FFFFFF"/>
          <w:spacing w:val="61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20"/>
          <w:sz w:val="18"/>
        </w:rPr>
        <w:t> </w:t>
      </w:r>
      <w:r>
        <w:rPr>
          <w:color w:val="FFFFFF"/>
          <w:w w:val="120"/>
          <w:sz w:val="16"/>
        </w:rPr>
        <w:t>LinkedIn</w:t>
      </w:r>
      <w:r>
        <w:rPr>
          <w:color w:val="FFFFFF"/>
          <w:spacing w:val="61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20"/>
          <w:sz w:val="18"/>
        </w:rPr>
        <w:t> </w:t>
      </w:r>
      <w:r>
        <w:rPr>
          <w:color w:val="FFFFFF"/>
          <w:w w:val="120"/>
          <w:sz w:val="16"/>
        </w:rPr>
        <w:t>City,</w:t>
      </w:r>
      <w:r>
        <w:rPr>
          <w:color w:val="FFFFFF"/>
          <w:spacing w:val="47"/>
          <w:w w:val="120"/>
          <w:sz w:val="16"/>
        </w:rPr>
        <w:t> </w:t>
      </w:r>
      <w:r>
        <w:rPr>
          <w:color w:val="FFFFFF"/>
          <w:spacing w:val="-5"/>
          <w:w w:val="120"/>
          <w:sz w:val="16"/>
        </w:rPr>
        <w:t>ST</w:t>
      </w:r>
    </w:p>
    <w:p>
      <w:pPr>
        <w:spacing w:before="147"/>
        <w:ind w:left="669" w:right="0" w:firstLine="0"/>
        <w:jc w:val="left"/>
        <w:rPr>
          <w:rFonts w:ascii="Gadugi"/>
          <w:sz w:val="100"/>
        </w:rPr>
      </w:pPr>
      <w:r>
        <w:rPr>
          <w:rFonts w:ascii="Trebuchet MS"/>
          <w:b/>
          <w:color w:val="FFFFFF"/>
          <w:spacing w:val="9"/>
          <w:sz w:val="100"/>
        </w:rPr>
        <w:t>Blake</w:t>
      </w:r>
      <w:r>
        <w:rPr>
          <w:rFonts w:ascii="Trebuchet MS"/>
          <w:b/>
          <w:color w:val="FFFFFF"/>
          <w:spacing w:val="-54"/>
          <w:sz w:val="100"/>
        </w:rPr>
        <w:t> </w:t>
      </w:r>
      <w:r>
        <w:rPr>
          <w:rFonts w:ascii="Gadugi"/>
          <w:color w:val="FFFFFF"/>
          <w:spacing w:val="9"/>
          <w:sz w:val="100"/>
        </w:rPr>
        <w:t>Allen</w:t>
      </w:r>
    </w:p>
    <w:p>
      <w:pPr>
        <w:pStyle w:val="Heading2"/>
      </w:pPr>
      <w:r>
        <w:rPr>
          <w:color w:val="FFFFFF"/>
          <w:spacing w:val="-4"/>
        </w:rPr>
        <w:t>Cybersecurity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Project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Manager</w:t>
      </w:r>
    </w:p>
    <w:p>
      <w:pPr>
        <w:spacing w:before="180"/>
        <w:ind w:left="669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Cybersecurity-focused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Project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Leader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protecting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organizations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from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digital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threats</w:t>
      </w:r>
    </w:p>
    <w:p>
      <w:pPr>
        <w:spacing w:line="259" w:lineRule="auto" w:before="14"/>
        <w:ind w:left="669" w:right="16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Dedicated IT Project Manager with 10 years of experience delivering security solutions, compliance upgrades, and incident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response frameworks across government and financial sectors. Proven ability to drive cybersecurity initiatives that reduce risk exposure and strengthen organizational resilience.</w:t>
      </w:r>
    </w:p>
    <w:p>
      <w:pPr>
        <w:pStyle w:val="BodyText"/>
        <w:spacing w:before="413"/>
        <w:ind w:left="0" w:firstLine="0"/>
        <w:rPr>
          <w:sz w:val="42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-44703</wp:posOffset>
                </wp:positionV>
                <wp:extent cx="2238375" cy="4572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457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4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42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2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4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51996pt;width:176.25pt;height:36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00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4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42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2"/>
                          <w:sz w:val="4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42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PROFESSIONAL</w:t>
      </w:r>
      <w:r>
        <w:rPr>
          <w:color w:val="FFFFFF"/>
          <w:spacing w:val="55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28"/>
        <w:ind w:left="0" w:firstLine="0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35" w:lineRule="auto" w:before="101" w:after="0"/>
        <w:ind w:left="873" w:right="38" w:hanging="298"/>
        <w:jc w:val="left"/>
        <w:rPr>
          <w:sz w:val="22"/>
        </w:rPr>
      </w:pPr>
      <w:r>
        <w:rPr>
          <w:w w:val="125"/>
          <w:sz w:val="22"/>
        </w:rPr>
        <w:t>Compliance and governance (NIST, ISO)</w:t>
      </w:r>
    </w:p>
    <w:p>
      <w:pPr>
        <w:spacing w:line="287" w:lineRule="exact" w:before="113"/>
        <w:ind w:left="576" w:right="0" w:firstLine="0"/>
        <w:jc w:val="left"/>
        <w:rPr>
          <w:sz w:val="24"/>
        </w:rPr>
      </w:pPr>
      <w:r>
        <w:rPr/>
        <w:br w:type="column"/>
      </w:r>
      <w:r>
        <w:rPr>
          <w:w w:val="125"/>
          <w:sz w:val="24"/>
        </w:rPr>
        <w:t>Cybersecurity</w:t>
      </w:r>
      <w:r>
        <w:rPr>
          <w:spacing w:val="19"/>
          <w:w w:val="125"/>
          <w:sz w:val="24"/>
        </w:rPr>
        <w:t> </w:t>
      </w:r>
      <w:r>
        <w:rPr>
          <w:w w:val="125"/>
          <w:sz w:val="24"/>
        </w:rPr>
        <w:t>Project</w:t>
      </w:r>
      <w:r>
        <w:rPr>
          <w:spacing w:val="20"/>
          <w:w w:val="125"/>
          <w:sz w:val="24"/>
        </w:rPr>
        <w:t> </w:t>
      </w:r>
      <w:r>
        <w:rPr>
          <w:spacing w:val="-2"/>
          <w:w w:val="125"/>
          <w:sz w:val="24"/>
        </w:rPr>
        <w:t>Manager</w:t>
      </w:r>
    </w:p>
    <w:p>
      <w:pPr>
        <w:spacing w:line="297" w:lineRule="exact" w:before="0"/>
        <w:ind w:left="576" w:right="0" w:firstLine="0"/>
        <w:jc w:val="left"/>
        <w:rPr>
          <w:sz w:val="24"/>
        </w:rPr>
      </w:pPr>
      <w:r>
        <w:rPr>
          <w:w w:val="115"/>
          <w:sz w:val="24"/>
        </w:rPr>
        <w:t>TrustSec</w:t>
      </w:r>
      <w:r>
        <w:rPr>
          <w:spacing w:val="36"/>
          <w:w w:val="115"/>
          <w:sz w:val="24"/>
        </w:rPr>
        <w:t> </w:t>
      </w:r>
      <w:r>
        <w:rPr>
          <w:w w:val="115"/>
          <w:sz w:val="24"/>
        </w:rPr>
        <w:t>Solutions,</w:t>
      </w:r>
      <w:r>
        <w:rPr>
          <w:spacing w:val="37"/>
          <w:w w:val="115"/>
          <w:sz w:val="24"/>
        </w:rPr>
        <w:t> </w:t>
      </w:r>
      <w:r>
        <w:rPr>
          <w:w w:val="115"/>
          <w:sz w:val="24"/>
        </w:rPr>
        <w:t>Charlotte,</w:t>
      </w:r>
      <w:r>
        <w:rPr>
          <w:spacing w:val="37"/>
          <w:w w:val="115"/>
          <w:sz w:val="24"/>
        </w:rPr>
        <w:t> </w:t>
      </w:r>
      <w:r>
        <w:rPr>
          <w:w w:val="115"/>
          <w:sz w:val="24"/>
        </w:rPr>
        <w:t>NC,</w:t>
      </w:r>
      <w:r>
        <w:rPr>
          <w:spacing w:val="27"/>
          <w:w w:val="115"/>
          <w:sz w:val="24"/>
        </w:rPr>
        <w:t>  </w:t>
      </w:r>
      <w:r>
        <w:rPr>
          <w:position w:val="1"/>
          <w:sz w:val="24"/>
        </w:rPr>
        <w:t>|</w:t>
      </w:r>
      <w:r>
        <w:rPr>
          <w:spacing w:val="21"/>
          <w:w w:val="115"/>
          <w:position w:val="1"/>
          <w:sz w:val="24"/>
        </w:rPr>
        <w:t> </w:t>
      </w:r>
      <w:r>
        <w:rPr>
          <w:w w:val="115"/>
          <w:sz w:val="24"/>
        </w:rPr>
        <w:t>May</w:t>
      </w:r>
      <w:r>
        <w:rPr>
          <w:spacing w:val="37"/>
          <w:w w:val="115"/>
          <w:sz w:val="24"/>
        </w:rPr>
        <w:t> </w:t>
      </w:r>
      <w:r>
        <w:rPr>
          <w:w w:val="115"/>
          <w:sz w:val="24"/>
        </w:rPr>
        <w:t>2018</w:t>
      </w:r>
      <w:r>
        <w:rPr>
          <w:spacing w:val="37"/>
          <w:w w:val="115"/>
          <w:sz w:val="24"/>
        </w:rPr>
        <w:t> </w:t>
      </w:r>
      <w:r>
        <w:rPr>
          <w:w w:val="115"/>
          <w:sz w:val="24"/>
        </w:rPr>
        <w:t>–</w:t>
      </w:r>
      <w:r>
        <w:rPr>
          <w:spacing w:val="36"/>
          <w:w w:val="115"/>
          <w:sz w:val="24"/>
        </w:rPr>
        <w:t> </w:t>
      </w:r>
      <w:r>
        <w:rPr>
          <w:spacing w:val="-2"/>
          <w:w w:val="115"/>
          <w:sz w:val="24"/>
        </w:rPr>
        <w:t>Present</w:t>
      </w:r>
    </w:p>
    <w:p>
      <w:pPr>
        <w:spacing w:after="0" w:line="297" w:lineRule="exact"/>
        <w:jc w:val="left"/>
        <w:rPr>
          <w:sz w:val="24"/>
        </w:rPr>
        <w:sectPr>
          <w:type w:val="continuous"/>
          <w:pgSz w:w="11920" w:h="16860"/>
          <w:pgMar w:top="400" w:bottom="280" w:left="0" w:right="141"/>
          <w:cols w:num="2" w:equalWidth="0">
            <w:col w:w="3525" w:space="344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27" w:after="0"/>
        <w:ind w:left="873" w:right="452" w:hanging="298"/>
        <w:jc w:val="left"/>
        <w:rPr>
          <w:sz w:val="22"/>
        </w:rPr>
      </w:pPr>
      <w:r>
        <w:rPr>
          <w:spacing w:val="-2"/>
          <w:w w:val="125"/>
          <w:sz w:val="22"/>
        </w:rPr>
        <w:t>Cybersecurity </w:t>
      </w:r>
      <w:r>
        <w:rPr>
          <w:w w:val="125"/>
          <w:sz w:val="22"/>
        </w:rPr>
        <w:t>program</w:t>
      </w:r>
      <w:r>
        <w:rPr>
          <w:spacing w:val="32"/>
          <w:w w:val="125"/>
          <w:sz w:val="22"/>
        </w:rPr>
        <w:t> </w:t>
      </w:r>
      <w:r>
        <w:rPr>
          <w:spacing w:val="-2"/>
          <w:w w:val="120"/>
          <w:sz w:val="22"/>
        </w:rPr>
        <w:t>rollout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35" w:lineRule="auto" w:before="22" w:after="0"/>
        <w:ind w:left="873" w:right="204" w:hanging="298"/>
        <w:jc w:val="left"/>
        <w:rPr>
          <w:sz w:val="22"/>
        </w:rPr>
      </w:pPr>
      <w:r>
        <w:rPr>
          <w:w w:val="125"/>
          <w:sz w:val="22"/>
        </w:rPr>
        <w:t>Incident response </w:t>
      </w:r>
      <w:r>
        <w:rPr>
          <w:spacing w:val="-2"/>
          <w:w w:val="125"/>
          <w:sz w:val="22"/>
        </w:rPr>
        <w:t>planning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27" w:after="0"/>
        <w:ind w:left="873" w:right="38" w:hanging="298"/>
        <w:jc w:val="left"/>
        <w:rPr>
          <w:sz w:val="22"/>
        </w:rPr>
      </w:pPr>
      <w:r>
        <w:rPr>
          <w:w w:val="125"/>
          <w:sz w:val="22"/>
        </w:rPr>
        <w:t>Penetration testing </w:t>
      </w:r>
      <w:r>
        <w:rPr>
          <w:spacing w:val="-2"/>
          <w:w w:val="125"/>
          <w:sz w:val="22"/>
        </w:rPr>
        <w:t>oversight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35" w:lineRule="auto" w:before="22" w:after="0"/>
        <w:ind w:left="873" w:right="519" w:hanging="298"/>
        <w:jc w:val="left"/>
        <w:rPr>
          <w:sz w:val="22"/>
        </w:rPr>
      </w:pPr>
      <w:r>
        <w:rPr>
          <w:w w:val="125"/>
          <w:sz w:val="22"/>
        </w:rPr>
        <w:t>Risk mitigation </w:t>
      </w:r>
      <w:r>
        <w:rPr>
          <w:spacing w:val="-2"/>
          <w:w w:val="125"/>
          <w:sz w:val="22"/>
        </w:rPr>
        <w:t>strategy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9" w:lineRule="auto" w:before="0" w:after="0"/>
        <w:ind w:left="873" w:right="51" w:hanging="298"/>
        <w:jc w:val="left"/>
        <w:rPr>
          <w:sz w:val="22"/>
        </w:rPr>
      </w:pPr>
      <w:r>
        <w:rPr>
          <w:w w:val="125"/>
          <w:sz w:val="22"/>
        </w:rPr>
        <w:t>Security operations center (SOC) </w:t>
      </w:r>
      <w:r>
        <w:rPr>
          <w:spacing w:val="-2"/>
          <w:w w:val="125"/>
          <w:sz w:val="22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35" w:lineRule="auto" w:before="198" w:after="0"/>
        <w:ind w:left="1004" w:right="131" w:hanging="298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Led enterprise vulnerability assessment program, reducing open critical risks by 80% within six months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47" w:lineRule="auto" w:before="27" w:after="0"/>
        <w:ind w:left="1004" w:right="146" w:hanging="298"/>
        <w:jc w:val="left"/>
        <w:rPr>
          <w:sz w:val="22"/>
        </w:rPr>
      </w:pPr>
      <w:r>
        <w:rPr>
          <w:w w:val="125"/>
          <w:sz w:val="22"/>
        </w:rPr>
        <w:t>Oversaw rollout of multifactor authentication across 1,500+ users with zero implementation issues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35" w:lineRule="auto" w:before="22" w:after="0"/>
        <w:ind w:left="1004" w:right="595" w:hanging="298"/>
        <w:jc w:val="left"/>
        <w:rPr>
          <w:sz w:val="22"/>
        </w:rPr>
      </w:pPr>
      <w:r>
        <w:rPr>
          <w:w w:val="125"/>
          <w:sz w:val="22"/>
        </w:rPr>
        <w:t>Partnered with legal and compliance to ensure full ISO 27001 readiness</w:t>
      </w:r>
    </w:p>
    <w:p>
      <w:pPr>
        <w:pStyle w:val="BodyText"/>
        <w:spacing w:before="45"/>
        <w:ind w:left="0" w:firstLine="0"/>
      </w:pPr>
    </w:p>
    <w:p>
      <w:pPr>
        <w:spacing w:line="287" w:lineRule="exact" w:before="0"/>
        <w:ind w:left="576" w:right="0" w:firstLine="0"/>
        <w:jc w:val="left"/>
        <w:rPr>
          <w:sz w:val="24"/>
        </w:rPr>
      </w:pPr>
      <w:r>
        <w:rPr>
          <w:w w:val="125"/>
          <w:sz w:val="24"/>
        </w:rPr>
        <w:t>IT</w:t>
      </w:r>
      <w:r>
        <w:rPr>
          <w:spacing w:val="11"/>
          <w:w w:val="125"/>
          <w:sz w:val="24"/>
        </w:rPr>
        <w:t> </w:t>
      </w:r>
      <w:r>
        <w:rPr>
          <w:w w:val="125"/>
          <w:sz w:val="24"/>
        </w:rPr>
        <w:t>Risk</w:t>
      </w:r>
      <w:r>
        <w:rPr>
          <w:spacing w:val="11"/>
          <w:w w:val="125"/>
          <w:sz w:val="24"/>
        </w:rPr>
        <w:t> </w:t>
      </w:r>
      <w:r>
        <w:rPr>
          <w:spacing w:val="-2"/>
          <w:w w:val="125"/>
          <w:sz w:val="24"/>
        </w:rPr>
        <w:t>Coordinator</w:t>
      </w:r>
    </w:p>
    <w:p>
      <w:pPr>
        <w:spacing w:line="242" w:lineRule="auto" w:before="0"/>
        <w:ind w:left="576" w:right="220" w:firstLine="0"/>
        <w:jc w:val="left"/>
        <w:rPr>
          <w:sz w:val="24"/>
        </w:rPr>
      </w:pPr>
      <w:r>
        <w:rPr>
          <w:w w:val="115"/>
          <w:sz w:val="24"/>
        </w:rPr>
        <w:t>Atlantic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Financial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Group,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Charlotte,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NC,</w:t>
      </w:r>
      <w:r>
        <w:rPr>
          <w:spacing w:val="80"/>
          <w:w w:val="150"/>
          <w:sz w:val="24"/>
        </w:rPr>
        <w:t> </w:t>
      </w:r>
      <w:r>
        <w:rPr>
          <w:position w:val="1"/>
          <w:sz w:val="24"/>
        </w:rPr>
        <w:t>|</w:t>
      </w:r>
      <w:r>
        <w:rPr>
          <w:spacing w:val="39"/>
          <w:w w:val="115"/>
          <w:position w:val="1"/>
          <w:sz w:val="24"/>
        </w:rPr>
        <w:t> </w:t>
      </w:r>
      <w:r>
        <w:rPr>
          <w:w w:val="115"/>
          <w:sz w:val="24"/>
        </w:rPr>
        <w:t>August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2014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– April 2018</w:t>
      </w:r>
    </w:p>
    <w:p>
      <w:pPr>
        <w:spacing w:after="0" w:line="242" w:lineRule="auto"/>
        <w:jc w:val="left"/>
        <w:rPr>
          <w:sz w:val="24"/>
        </w:rPr>
        <w:sectPr>
          <w:type w:val="continuous"/>
          <w:pgSz w:w="11920" w:h="16860"/>
          <w:pgMar w:top="400" w:bottom="280" w:left="0" w:right="141"/>
          <w:cols w:num="2" w:equalWidth="0">
            <w:col w:w="3144" w:space="724"/>
            <w:col w:w="7911"/>
          </w:cols>
        </w:sectPr>
      </w:pPr>
    </w:p>
    <w:p>
      <w:pPr>
        <w:pStyle w:val="BodyText"/>
        <w:spacing w:before="224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695587"/>
                            <a:ext cx="9525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10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00662"/>
                                </a:lnTo>
                                <a:lnTo>
                                  <a:pt x="0" y="8010499"/>
                                </a:lnTo>
                                <a:lnTo>
                                  <a:pt x="9525" y="8010499"/>
                                </a:lnTo>
                                <a:lnTo>
                                  <a:pt x="9525" y="54006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7568183" y="2695574"/>
                                </a:moveTo>
                                <a:lnTo>
                                  <a:pt x="0" y="2695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847987"/>
                            <a:ext cx="4901565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5048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504812"/>
                                </a:lnTo>
                                <a:lnTo>
                                  <a:pt x="4901184" y="504812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933699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695574"/>
                            <a:ext cx="9525" cy="637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372225">
                                <a:moveTo>
                                  <a:pt x="9524" y="6372224"/>
                                </a:moveTo>
                                <a:lnTo>
                                  <a:pt x="0" y="6372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372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886087"/>
                            <a:ext cx="2238375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5048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504812"/>
                                </a:lnTo>
                                <a:lnTo>
                                  <a:pt x="2238362" y="50481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9622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6467487"/>
                            <a:ext cx="2238375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5048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504812"/>
                                </a:lnTo>
                                <a:lnTo>
                                  <a:pt x="2238362" y="50481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65341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2" coordorigin="0,0" coordsize="11919,16860">
                <v:shape style="position:absolute;left:3734;top:4245;width:15;height:12615" id="docshape3" coordorigin="3735,4245" coordsize="15,12615" path="m3750,4245l3735,4245,3735,12750,3735,16860,3750,16860,3750,12750,3750,4245xe" filled="true" fillcolor="#000000" stroked="false">
                  <v:path arrowok="t"/>
                  <v:fill type="solid"/>
                </v:shape>
                <v:rect style="position:absolute;left:0;top:0;width:11919;height:4245" id="docshape4" filled="true" fillcolor="#424242" stroked="false">
                  <v:fill type="solid"/>
                </v:rect>
                <v:shape style="position:absolute;left:4199;top:4485;width:7719;height:795" id="docshape5" coordorigin="4200,4485" coordsize="7719,795" path="m11918,4605l4797,4605,4792,4599,4785,4591,4735,4547,4679,4515,4616,4494,4551,4485,4524,4485,4459,4494,4396,4515,4340,4547,4290,4591,4250,4643,4221,4702,4204,4765,4200,4825,4200,4836,4209,4901,4230,4964,4262,5020,4306,5070,4358,5110,4395,5130,4395,5280,11918,5280,11918,4605xe" filled="true" fillcolor="#cc8b00" stroked="false">
                  <v:path arrowok="t"/>
                  <v:fill type="solid"/>
                </v:shape>
                <v:shape style="position:absolute;left:4335;top:4620;width:405;height:405" type="#_x0000_t75" id="docshape6" stroked="false">
                  <v:imagedata r:id="rId6" o:title=""/>
                </v:shape>
                <v:rect style="position:absolute;left:3735;top:4245;width:15;height:10035" id="docshape7" filled="true" fillcolor="#000000" stroked="false">
                  <v:fill type="solid"/>
                </v:rect>
                <v:shape style="position:absolute;left:0;top:4545;width:3525;height:795" id="docshape8" coordorigin="0,4545" coordsize="3525,795" path="m3525,4620l881,4620,874,4614,865,4607,809,4575,746,4554,681,4545,654,4545,589,4554,526,4575,470,4607,454,4620,0,4620,0,5340,3525,5340,3525,4620xe" filled="true" fillcolor="#cc8b00" stroked="false">
                  <v:path arrowok="t"/>
                  <v:fill type="solid"/>
                </v:shape>
                <v:shape style="position:absolute;left:450;top:4665;width:435;height:435" type="#_x0000_t75" id="docshape9" stroked="false">
                  <v:imagedata r:id="rId7" o:title=""/>
                </v:shape>
                <v:shape style="position:absolute;left:0;top:10185;width:3525;height:795" id="docshape10" coordorigin="0,10185" coordsize="3525,795" path="m3525,10260l881,10260,874,10254,865,10247,809,10215,746,10194,681,10185,654,10185,589,10194,526,10215,470,10247,454,10260,0,10260,0,10980,3525,10980,3525,10260xe" filled="true" fillcolor="#cc8b00" stroked="false">
                  <v:path arrowok="t"/>
                  <v:fill type="solid"/>
                </v:shape>
                <v:shape style="position:absolute;left:450;top:10290;width:435;height:45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-1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4572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457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4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4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36pt;mso-position-horizontal-relative:char;mso-position-vertical-relative:line" type="#_x0000_t202" id="docshape12" filled="false" stroked="false">
                <w10:anchorlock/>
                <v:textbox inset="0,0,0,0">
                  <w:txbxContent>
                    <w:p>
                      <w:pPr>
                        <w:spacing w:before="100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4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42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0"/>
        <w:ind w:left="0" w:firstLine="0"/>
        <w:rPr>
          <w:sz w:val="24"/>
        </w:rPr>
      </w:pPr>
    </w:p>
    <w:p>
      <w:pPr>
        <w:spacing w:line="232" w:lineRule="auto" w:before="0"/>
        <w:ind w:left="576" w:right="0" w:firstLine="0"/>
        <w:jc w:val="left"/>
        <w:rPr>
          <w:sz w:val="24"/>
        </w:rPr>
      </w:pPr>
      <w:r>
        <w:rPr>
          <w:w w:val="125"/>
          <w:sz w:val="24"/>
        </w:rPr>
        <w:t>Bachelor of Science in Cybersecurity and Information Assurance</w:t>
      </w:r>
    </w:p>
    <w:p>
      <w:pPr>
        <w:spacing w:line="237" w:lineRule="auto" w:before="8"/>
        <w:ind w:left="576" w:right="0" w:firstLine="55"/>
        <w:jc w:val="left"/>
        <w:rPr>
          <w:sz w:val="24"/>
        </w:rPr>
      </w:pPr>
      <w:r>
        <w:rPr>
          <w:position w:val="1"/>
          <w:sz w:val="24"/>
        </w:rPr>
        <w:t>| </w:t>
      </w:r>
      <w:r>
        <w:rPr>
          <w:w w:val="110"/>
          <w:sz w:val="24"/>
        </w:rPr>
        <w:t>University of North</w:t>
      </w:r>
      <w:r>
        <w:rPr>
          <w:spacing w:val="40"/>
          <w:w w:val="110"/>
          <w:sz w:val="24"/>
        </w:rPr>
        <w:t> </w:t>
      </w:r>
      <w:r>
        <w:rPr>
          <w:w w:val="110"/>
          <w:sz w:val="24"/>
        </w:rPr>
        <w:t>Carolina at Charlotte </w:t>
      </w:r>
      <w:r>
        <w:rPr>
          <w:sz w:val="24"/>
        </w:rPr>
        <w:t>|</w:t>
      </w:r>
      <w:r>
        <w:rPr>
          <w:spacing w:val="80"/>
          <w:w w:val="110"/>
          <w:sz w:val="24"/>
        </w:rPr>
        <w:t> </w:t>
      </w:r>
      <w:r>
        <w:rPr>
          <w:w w:val="110"/>
          <w:sz w:val="24"/>
        </w:rPr>
        <w:t>Charlotte,</w:t>
      </w:r>
      <w:r>
        <w:rPr>
          <w:spacing w:val="40"/>
          <w:w w:val="110"/>
          <w:sz w:val="24"/>
        </w:rPr>
        <w:t> </w:t>
      </w:r>
      <w:r>
        <w:rPr>
          <w:w w:val="110"/>
          <w:sz w:val="24"/>
        </w:rPr>
        <w:t>NC</w:t>
      </w:r>
    </w:p>
    <w:p>
      <w:pPr>
        <w:spacing w:line="285" w:lineRule="exact" w:before="0"/>
        <w:ind w:left="576" w:right="0" w:firstLine="0"/>
        <w:jc w:val="left"/>
        <w:rPr>
          <w:sz w:val="24"/>
        </w:rPr>
      </w:pPr>
      <w:r>
        <w:rPr>
          <w:w w:val="115"/>
          <w:sz w:val="24"/>
        </w:rPr>
        <w:t>May</w:t>
      </w:r>
      <w:r>
        <w:rPr>
          <w:spacing w:val="21"/>
          <w:w w:val="115"/>
          <w:sz w:val="24"/>
        </w:rPr>
        <w:t> </w:t>
      </w:r>
      <w:r>
        <w:rPr>
          <w:spacing w:val="-4"/>
          <w:w w:val="115"/>
          <w:sz w:val="24"/>
        </w:rPr>
        <w:t>2014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1" w:lineRule="exact" w:before="0" w:after="0"/>
        <w:ind w:left="872" w:right="0" w:hanging="29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Coordinated</w:t>
      </w:r>
      <w:r>
        <w:rPr>
          <w:spacing w:val="15"/>
          <w:w w:val="125"/>
          <w:sz w:val="22"/>
        </w:rPr>
        <w:t> </w:t>
      </w:r>
      <w:r>
        <w:rPr>
          <w:w w:val="125"/>
          <w:sz w:val="22"/>
        </w:rPr>
        <w:t>SOC</w:t>
      </w:r>
      <w:r>
        <w:rPr>
          <w:spacing w:val="16"/>
          <w:w w:val="125"/>
          <w:sz w:val="22"/>
        </w:rPr>
        <w:t> </w:t>
      </w:r>
      <w:r>
        <w:rPr>
          <w:w w:val="125"/>
          <w:sz w:val="22"/>
        </w:rPr>
        <w:t>2</w:t>
      </w:r>
      <w:r>
        <w:rPr>
          <w:spacing w:val="16"/>
          <w:w w:val="125"/>
          <w:sz w:val="22"/>
        </w:rPr>
        <w:t> </w:t>
      </w:r>
      <w:r>
        <w:rPr>
          <w:w w:val="125"/>
          <w:sz w:val="22"/>
        </w:rPr>
        <w:t>audit</w:t>
      </w:r>
      <w:r>
        <w:rPr>
          <w:spacing w:val="15"/>
          <w:w w:val="125"/>
          <w:sz w:val="22"/>
        </w:rPr>
        <w:t> </w:t>
      </w:r>
      <w:r>
        <w:rPr>
          <w:w w:val="125"/>
          <w:sz w:val="22"/>
        </w:rPr>
        <w:t>preparation</w:t>
      </w:r>
      <w:r>
        <w:rPr>
          <w:spacing w:val="1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15"/>
          <w:w w:val="125"/>
          <w:sz w:val="22"/>
        </w:rPr>
        <w:t> </w:t>
      </w:r>
      <w:r>
        <w:rPr>
          <w:w w:val="125"/>
          <w:sz w:val="22"/>
        </w:rPr>
        <w:t>internal</w:t>
      </w:r>
      <w:r>
        <w:rPr>
          <w:spacing w:val="16"/>
          <w:w w:val="125"/>
          <w:sz w:val="22"/>
        </w:rPr>
        <w:t> </w:t>
      </w:r>
      <w:r>
        <w:rPr>
          <w:spacing w:val="-2"/>
          <w:w w:val="125"/>
          <w:sz w:val="22"/>
        </w:rPr>
        <w:t>training</w:t>
      </w:r>
    </w:p>
    <w:p>
      <w:pPr>
        <w:pStyle w:val="BodyText"/>
        <w:spacing w:line="266" w:lineRule="exact"/>
        <w:ind w:firstLine="0"/>
      </w:pPr>
      <w:r>
        <w:rPr>
          <w:w w:val="120"/>
        </w:rPr>
        <w:t>for</w:t>
      </w:r>
      <w:r>
        <w:rPr>
          <w:spacing w:val="16"/>
          <w:w w:val="120"/>
        </w:rPr>
        <w:t> </w:t>
      </w:r>
      <w:r>
        <w:rPr>
          <w:w w:val="120"/>
        </w:rPr>
        <w:t>300+</w:t>
      </w:r>
      <w:r>
        <w:rPr>
          <w:spacing w:val="17"/>
          <w:w w:val="120"/>
        </w:rPr>
        <w:t> </w:t>
      </w:r>
      <w:r>
        <w:rPr>
          <w:spacing w:val="-2"/>
          <w:w w:val="120"/>
        </w:rPr>
        <w:t>employees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25" w:after="0"/>
        <w:ind w:left="873" w:right="46" w:hanging="298"/>
        <w:jc w:val="left"/>
        <w:rPr>
          <w:sz w:val="22"/>
        </w:rPr>
      </w:pPr>
      <w:r>
        <w:rPr>
          <w:w w:val="125"/>
          <w:sz w:val="22"/>
        </w:rPr>
        <w:t>Managed vendor access policy implementation and regular</w:t>
      </w:r>
      <w:r>
        <w:rPr>
          <w:spacing w:val="40"/>
          <w:w w:val="125"/>
          <w:sz w:val="22"/>
        </w:rPr>
        <w:t> </w:t>
      </w:r>
      <w:r>
        <w:rPr>
          <w:w w:val="125"/>
          <w:sz w:val="22"/>
        </w:rPr>
        <w:t>compliance reviews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6" w:after="0"/>
        <w:ind w:left="872" w:right="0" w:hanging="296"/>
        <w:jc w:val="left"/>
        <w:rPr>
          <w:sz w:val="22"/>
        </w:rPr>
      </w:pPr>
      <w:r>
        <w:rPr>
          <w:w w:val="125"/>
          <w:sz w:val="22"/>
        </w:rPr>
        <w:t>Collaborated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CISO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draft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breach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response</w:t>
      </w:r>
      <w:r>
        <w:rPr>
          <w:spacing w:val="12"/>
          <w:w w:val="125"/>
          <w:sz w:val="22"/>
        </w:rPr>
        <w:t> </w:t>
      </w:r>
      <w:r>
        <w:rPr>
          <w:spacing w:val="-2"/>
          <w:w w:val="125"/>
          <w:sz w:val="22"/>
        </w:rPr>
        <w:t>protocols</w:t>
      </w:r>
    </w:p>
    <w:sectPr>
      <w:type w:val="continuous"/>
      <w:pgSz w:w="11920" w:h="16860"/>
      <w:pgMar w:top="400" w:bottom="280" w:left="0" w:right="141"/>
      <w:cols w:num="2" w:equalWidth="0">
        <w:col w:w="3436" w:space="563"/>
        <w:col w:w="77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 w:hanging="298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1041"/>
      <w:outlineLvl w:val="1"/>
    </w:pPr>
    <w:rPr>
      <w:rFonts w:ascii="Trebuchet MS" w:hAnsi="Trebuchet MS" w:eastAsia="Trebuchet MS" w:cs="Trebuchet MS"/>
      <w:b/>
      <w:bCs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9"/>
      <w:ind w:left="669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2"/>
      <w:ind w:left="873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2026-02-12T07:53:21Z</dcterms:created>
  <dcterms:modified xsi:type="dcterms:W3CDTF">2026-02-12T07:53:21Z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