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Avery</w:t>
      </w:r>
      <w:r>
        <w:rPr>
          <w:color w:val="FFFFFF"/>
          <w:spacing w:val="-9"/>
          <w:w w:val="150"/>
        </w:rPr>
        <w:t> </w:t>
      </w:r>
      <w:r>
        <w:rPr>
          <w:color w:val="FFFFFF"/>
          <w:spacing w:val="9"/>
        </w:rPr>
        <w:t>Harris</w:t>
      </w:r>
    </w:p>
    <w:p>
      <w:pPr>
        <w:pStyle w:val="Heading2"/>
      </w:pPr>
      <w:r>
        <w:rPr>
          <w:color w:val="FFFFFF"/>
          <w:w w:val="105"/>
        </w:rPr>
        <w:t>Medical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Malpractice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Legal</w:t>
      </w:r>
      <w:r>
        <w:rPr>
          <w:color w:val="FFFFFF"/>
          <w:spacing w:val="14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278" w:lineRule="auto"/>
        <w:ind w:left="4239"/>
        <w:jc w:val="center"/>
      </w:pPr>
      <w:r>
        <w:rPr>
          <w:w w:val="130"/>
        </w:rPr>
        <w:t>Legal Assistant with expertise in medical malpractice and health care litigation support</w:t>
      </w:r>
    </w:p>
    <w:p>
      <w:pPr>
        <w:pStyle w:val="BodyText"/>
        <w:spacing w:line="273" w:lineRule="auto" w:before="120"/>
        <w:ind w:left="4239"/>
        <w:jc w:val="center"/>
      </w:pPr>
      <w:r>
        <w:rPr>
          <w:w w:val="130"/>
        </w:rPr>
        <w:t>Skilled in managing sensitive case documents and coordinating with medical experts, with 7 years of experience supporting malpractice attorneys. Known for organizing large volumes of records and tracking court deadlines with precision.</w:t>
      </w:r>
    </w:p>
    <w:p>
      <w:pPr>
        <w:pStyle w:val="BodyText"/>
        <w:spacing w:before="1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283" w:right="425"/>
        </w:sectPr>
      </w:pPr>
    </w:p>
    <w:p>
      <w:pPr>
        <w:spacing w:before="98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A2B8DE"/>
          <w:spacing w:val="-2"/>
          <w:sz w:val="15"/>
        </w:rPr>
        <w:t>PERSONAL</w:t>
      </w:r>
      <w:r>
        <w:rPr>
          <w:rFonts w:ascii="Arial"/>
          <w:b/>
          <w:color w:val="A2B8DE"/>
          <w:spacing w:val="-6"/>
          <w:sz w:val="15"/>
        </w:rPr>
        <w:t> </w:t>
      </w:r>
      <w:r>
        <w:rPr>
          <w:rFonts w:ascii="Arial"/>
          <w:b/>
          <w:color w:val="A2B8DE"/>
          <w:spacing w:val="-2"/>
          <w:sz w:val="15"/>
        </w:rPr>
        <w:t>INFORMATION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36"/>
        <w:rPr>
          <w:rFonts w:ascii="Arial"/>
          <w:b/>
          <w:sz w:val="15"/>
        </w:rPr>
      </w:pPr>
    </w:p>
    <w:p>
      <w:pPr>
        <w:pStyle w:val="BodyText"/>
        <w:spacing w:before="1"/>
        <w:ind w:left="647"/>
      </w:pPr>
      <w:r>
        <w:rPr>
          <w:w w:val="115"/>
        </w:rPr>
        <w:t>(123)</w:t>
      </w:r>
      <w:r>
        <w:rPr>
          <w:spacing w:val="22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10"/>
      </w:pPr>
    </w:p>
    <w:p>
      <w:pPr>
        <w:pStyle w:val="BodyText"/>
        <w:spacing w:line="491" w:lineRule="auto"/>
        <w:ind w:left="647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hyperlink r:id="rId6">
        <w:r>
          <w:rPr>
            <w:spacing w:val="-2"/>
            <w:w w:val="125"/>
          </w:rPr>
          <w:t>www.example.com/portfolio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spacing w:before="149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A2B8DE"/>
          <w:sz w:val="15"/>
        </w:rPr>
        <w:t>KEY</w:t>
      </w:r>
      <w:r>
        <w:rPr>
          <w:rFonts w:ascii="Arial"/>
          <w:b/>
          <w:color w:val="A2B8DE"/>
          <w:spacing w:val="-10"/>
          <w:sz w:val="15"/>
        </w:rPr>
        <w:t> </w:t>
      </w:r>
      <w:r>
        <w:rPr>
          <w:rFonts w:ascii="Arial"/>
          <w:b/>
          <w:color w:val="A2B8DE"/>
          <w:spacing w:val="-2"/>
          <w:sz w:val="15"/>
        </w:rPr>
        <w:t>SKILLS</w:t>
      </w:r>
    </w:p>
    <w:p>
      <w:pPr>
        <w:pStyle w:val="BodyText"/>
        <w:spacing w:before="150"/>
        <w:rPr>
          <w:rFonts w:ascii="Arial"/>
          <w:b/>
          <w:sz w:val="15"/>
        </w:rPr>
      </w:pPr>
    </w:p>
    <w:p>
      <w:pPr>
        <w:pStyle w:val="BodyText"/>
        <w:spacing w:line="376" w:lineRule="auto"/>
        <w:ind w:left="424" w:right="249"/>
      </w:pPr>
      <w:r>
        <w:rPr>
          <w:w w:val="125"/>
        </w:rPr>
        <w:t>Medical record analysis Expert witness coordination</w:t>
      </w:r>
    </w:p>
    <w:p>
      <w:pPr>
        <w:pStyle w:val="BodyText"/>
        <w:spacing w:line="376" w:lineRule="auto"/>
        <w:ind w:left="424"/>
      </w:pPr>
      <w:r>
        <w:rPr>
          <w:w w:val="130"/>
        </w:rPr>
        <w:t>Discovery</w:t>
      </w:r>
      <w:r>
        <w:rPr>
          <w:spacing w:val="-1"/>
          <w:w w:val="130"/>
        </w:rPr>
        <w:t> </w:t>
      </w:r>
      <w:r>
        <w:rPr>
          <w:w w:val="130"/>
        </w:rPr>
        <w:t>and</w:t>
      </w:r>
      <w:r>
        <w:rPr>
          <w:spacing w:val="-1"/>
          <w:w w:val="130"/>
        </w:rPr>
        <w:t> </w:t>
      </w:r>
      <w:r>
        <w:rPr>
          <w:w w:val="130"/>
        </w:rPr>
        <w:t>deposition</w:t>
      </w:r>
      <w:r>
        <w:rPr>
          <w:spacing w:val="-1"/>
          <w:w w:val="130"/>
        </w:rPr>
        <w:t> </w:t>
      </w:r>
      <w:r>
        <w:rPr>
          <w:w w:val="130"/>
        </w:rPr>
        <w:t>prep HIPAA compliance</w:t>
      </w:r>
    </w:p>
    <w:p>
      <w:pPr>
        <w:pStyle w:val="BodyText"/>
        <w:ind w:left="424"/>
      </w:pPr>
      <w:r>
        <w:rPr>
          <w:w w:val="130"/>
        </w:rPr>
        <w:t>Legal</w:t>
      </w:r>
      <w:r>
        <w:rPr>
          <w:spacing w:val="28"/>
          <w:w w:val="130"/>
        </w:rPr>
        <w:t> </w:t>
      </w:r>
      <w:r>
        <w:rPr>
          <w:spacing w:val="-2"/>
          <w:w w:val="130"/>
        </w:rPr>
        <w:t>calendaring</w:t>
      </w:r>
    </w:p>
    <w:p>
      <w:pPr>
        <w:pStyle w:val="BodyText"/>
        <w:spacing w:line="376" w:lineRule="auto" w:before="125"/>
        <w:ind w:left="424"/>
      </w:pPr>
      <w:r>
        <w:rPr>
          <w:w w:val="130"/>
        </w:rPr>
        <w:t>Plaintiff case </w:t>
      </w:r>
      <w:r>
        <w:rPr>
          <w:w w:val="130"/>
        </w:rPr>
        <w:t>management Court filings</w:t>
      </w:r>
    </w:p>
    <w:p>
      <w:pPr>
        <w:spacing w:before="143"/>
        <w:ind w:left="127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A2B8DE"/>
          <w:spacing w:val="-2"/>
          <w:sz w:val="15"/>
        </w:rPr>
        <w:t>PROFESSIONAL</w:t>
      </w:r>
      <w:r>
        <w:rPr>
          <w:rFonts w:ascii="Arial"/>
          <w:b/>
          <w:color w:val="A2B8DE"/>
          <w:spacing w:val="-3"/>
          <w:sz w:val="15"/>
        </w:rPr>
        <w:t> </w:t>
      </w:r>
      <w:r>
        <w:rPr>
          <w:rFonts w:ascii="Arial"/>
          <w:b/>
          <w:color w:val="A2B8DE"/>
          <w:spacing w:val="-2"/>
          <w:sz w:val="15"/>
        </w:rPr>
        <w:t>EXPERIENCE</w:t>
      </w:r>
    </w:p>
    <w:p>
      <w:pPr>
        <w:pStyle w:val="BodyText"/>
        <w:spacing w:before="44"/>
        <w:rPr>
          <w:rFonts w:ascii="Arial"/>
          <w:b/>
          <w:sz w:val="15"/>
        </w:rPr>
      </w:pPr>
    </w:p>
    <w:p>
      <w:pPr>
        <w:pStyle w:val="BodyText"/>
        <w:spacing w:line="278" w:lineRule="auto"/>
        <w:ind w:left="684" w:right="280"/>
      </w:pPr>
      <w:r>
        <w:rPr>
          <w:w w:val="125"/>
        </w:rPr>
        <w:t>Medical Malpractice Legal Assistant, Jameson &amp; Ryder LLP,</w:t>
      </w:r>
      <w:r>
        <w:rPr>
          <w:spacing w:val="80"/>
          <w:w w:val="125"/>
        </w:rPr>
        <w:t> </w:t>
      </w:r>
      <w:r>
        <w:rPr>
          <w:w w:val="125"/>
        </w:rPr>
        <w:t>Baltimore, MD</w:t>
      </w:r>
    </w:p>
    <w:p>
      <w:pPr>
        <w:pStyle w:val="BodyText"/>
        <w:ind w:left="684"/>
      </w:pPr>
      <w:r>
        <w:rPr>
          <w:w w:val="120"/>
        </w:rPr>
        <w:t>September</w:t>
      </w:r>
      <w:r>
        <w:rPr>
          <w:spacing w:val="17"/>
          <w:w w:val="120"/>
        </w:rPr>
        <w:t> </w:t>
      </w:r>
      <w:r>
        <w:rPr>
          <w:w w:val="120"/>
        </w:rPr>
        <w:t>2018</w:t>
      </w:r>
      <w:r>
        <w:rPr>
          <w:spacing w:val="29"/>
          <w:w w:val="120"/>
        </w:rPr>
        <w:t>  </w:t>
      </w:r>
      <w:r>
        <w:rPr>
          <w:w w:val="120"/>
        </w:rPr>
        <w:t>–</w:t>
      </w:r>
      <w:r>
        <w:rPr>
          <w:spacing w:val="29"/>
          <w:w w:val="120"/>
        </w:rPr>
        <w:t>  </w:t>
      </w:r>
      <w:r>
        <w:rPr>
          <w:spacing w:val="-2"/>
          <w:w w:val="120"/>
        </w:rPr>
        <w:t>Present</w:t>
      </w:r>
    </w:p>
    <w:p>
      <w:pPr>
        <w:pStyle w:val="BodyText"/>
        <w:spacing w:line="278" w:lineRule="auto" w:before="216"/>
        <w:ind w:left="963" w:right="280"/>
      </w:pPr>
      <w:r>
        <w:rPr>
          <w:w w:val="125"/>
        </w:rPr>
        <w:t>Managed over 60 active malpractice cases simultaneously,</w:t>
      </w:r>
      <w:r>
        <w:rPr>
          <w:spacing w:val="40"/>
          <w:w w:val="125"/>
        </w:rPr>
        <w:t> </w:t>
      </w:r>
      <w:r>
        <w:rPr>
          <w:w w:val="125"/>
        </w:rPr>
        <w:t>coordinating</w:t>
      </w:r>
      <w:r>
        <w:rPr>
          <w:spacing w:val="40"/>
          <w:w w:val="125"/>
        </w:rPr>
        <w:t> </w:t>
      </w:r>
      <w:r>
        <w:rPr>
          <w:w w:val="125"/>
        </w:rPr>
        <w:t>medical</w:t>
      </w:r>
      <w:r>
        <w:rPr>
          <w:spacing w:val="40"/>
          <w:w w:val="125"/>
        </w:rPr>
        <w:t> </w:t>
      </w:r>
      <w:r>
        <w:rPr>
          <w:w w:val="125"/>
        </w:rPr>
        <w:t>records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deposition</w:t>
      </w:r>
      <w:r>
        <w:rPr>
          <w:spacing w:val="40"/>
          <w:w w:val="125"/>
        </w:rPr>
        <w:t> </w:t>
      </w:r>
      <w:r>
        <w:rPr>
          <w:w w:val="125"/>
        </w:rPr>
        <w:t>schedules</w:t>
      </w:r>
    </w:p>
    <w:p>
      <w:pPr>
        <w:pStyle w:val="BodyText"/>
        <w:spacing w:line="278" w:lineRule="auto" w:before="90"/>
        <w:ind w:left="963" w:right="280"/>
      </w:pPr>
      <w:r>
        <w:rPr>
          <w:w w:val="130"/>
        </w:rPr>
        <w:t>Reduced expert review delays by 40% through new scheduling workflows</w:t>
      </w:r>
    </w:p>
    <w:p>
      <w:pPr>
        <w:pStyle w:val="BodyText"/>
        <w:spacing w:line="278" w:lineRule="auto" w:before="90"/>
        <w:ind w:left="963" w:right="98"/>
      </w:pPr>
      <w:r>
        <w:rPr>
          <w:w w:val="125"/>
        </w:rPr>
        <w:t>Drafted interrogatories and tracked discovery deadlines with</w:t>
      </w:r>
      <w:r>
        <w:rPr>
          <w:spacing w:val="40"/>
          <w:w w:val="125"/>
        </w:rPr>
        <w:t> </w:t>
      </w:r>
      <w:r>
        <w:rPr>
          <w:w w:val="125"/>
        </w:rPr>
        <w:t>100% on-time submission</w:t>
      </w:r>
    </w:p>
    <w:p>
      <w:pPr>
        <w:pStyle w:val="BodyText"/>
        <w:spacing w:line="278" w:lineRule="auto" w:before="180"/>
        <w:ind w:left="684" w:right="280"/>
      </w:pPr>
      <w:r>
        <w:rPr>
          <w:w w:val="125"/>
        </w:rPr>
        <w:t>Legal Assistant – Personal Injury/Medical Law, Gibson Legal</w:t>
      </w:r>
      <w:r>
        <w:rPr>
          <w:spacing w:val="40"/>
          <w:w w:val="125"/>
        </w:rPr>
        <w:t> </w:t>
      </w:r>
      <w:r>
        <w:rPr>
          <w:w w:val="125"/>
        </w:rPr>
        <w:t>Associates, Baltimore, MD</w:t>
      </w:r>
    </w:p>
    <w:p>
      <w:pPr>
        <w:pStyle w:val="BodyText"/>
        <w:ind w:left="684"/>
      </w:pPr>
      <w:r>
        <w:rPr>
          <w:w w:val="120"/>
        </w:rPr>
        <w:t>June</w:t>
      </w:r>
      <w:r>
        <w:rPr>
          <w:spacing w:val="20"/>
          <w:w w:val="120"/>
        </w:rPr>
        <w:t> </w:t>
      </w:r>
      <w:r>
        <w:rPr>
          <w:w w:val="120"/>
        </w:rPr>
        <w:t>2016</w:t>
      </w:r>
      <w:r>
        <w:rPr>
          <w:spacing w:val="33"/>
          <w:w w:val="120"/>
        </w:rPr>
        <w:t>  </w:t>
      </w:r>
      <w:r>
        <w:rPr>
          <w:w w:val="120"/>
        </w:rPr>
        <w:t>–</w:t>
      </w:r>
      <w:r>
        <w:rPr>
          <w:spacing w:val="33"/>
          <w:w w:val="120"/>
        </w:rPr>
        <w:t>  </w:t>
      </w:r>
      <w:r>
        <w:rPr>
          <w:w w:val="120"/>
        </w:rPr>
        <w:t>August</w:t>
      </w:r>
      <w:r>
        <w:rPr>
          <w:spacing w:val="21"/>
          <w:w w:val="120"/>
        </w:rPr>
        <w:t> </w:t>
      </w:r>
      <w:r>
        <w:rPr>
          <w:spacing w:val="-4"/>
          <w:w w:val="120"/>
        </w:rPr>
        <w:t>2018</w:t>
      </w:r>
    </w:p>
    <w:p>
      <w:pPr>
        <w:pStyle w:val="BodyText"/>
        <w:spacing w:line="278" w:lineRule="auto" w:before="216"/>
        <w:ind w:left="963"/>
      </w:pPr>
      <w:r>
        <w:rPr>
          <w:w w:val="130"/>
        </w:rPr>
        <w:t>Supported attorneys in high-value medical negligence cases, preparing exhibits and witness lists</w:t>
      </w:r>
    </w:p>
    <w:p>
      <w:pPr>
        <w:pStyle w:val="BodyText"/>
        <w:spacing w:before="90"/>
        <w:ind w:left="963"/>
      </w:pPr>
      <w:r>
        <w:rPr>
          <w:w w:val="125"/>
        </w:rPr>
        <w:t>Handled</w:t>
      </w:r>
      <w:r>
        <w:rPr>
          <w:spacing w:val="19"/>
          <w:w w:val="125"/>
        </w:rPr>
        <w:t> </w:t>
      </w:r>
      <w:r>
        <w:rPr>
          <w:w w:val="125"/>
        </w:rPr>
        <w:t>intake</w:t>
      </w:r>
      <w:r>
        <w:rPr>
          <w:spacing w:val="20"/>
          <w:w w:val="125"/>
        </w:rPr>
        <w:t> </w:t>
      </w:r>
      <w:r>
        <w:rPr>
          <w:w w:val="125"/>
        </w:rPr>
        <w:t>for</w:t>
      </w:r>
      <w:r>
        <w:rPr>
          <w:spacing w:val="20"/>
          <w:w w:val="125"/>
        </w:rPr>
        <w:t> </w:t>
      </w:r>
      <w:r>
        <w:rPr>
          <w:w w:val="125"/>
        </w:rPr>
        <w:t>more</w:t>
      </w:r>
      <w:r>
        <w:rPr>
          <w:spacing w:val="20"/>
          <w:w w:val="125"/>
        </w:rPr>
        <w:t> </w:t>
      </w:r>
      <w:r>
        <w:rPr>
          <w:w w:val="125"/>
        </w:rPr>
        <w:t>than</w:t>
      </w:r>
      <w:r>
        <w:rPr>
          <w:spacing w:val="20"/>
          <w:w w:val="125"/>
        </w:rPr>
        <w:t> </w:t>
      </w:r>
      <w:r>
        <w:rPr>
          <w:w w:val="125"/>
        </w:rPr>
        <w:t>25</w:t>
      </w:r>
      <w:r>
        <w:rPr>
          <w:spacing w:val="20"/>
          <w:w w:val="125"/>
        </w:rPr>
        <w:t> </w:t>
      </w:r>
      <w:r>
        <w:rPr>
          <w:w w:val="125"/>
        </w:rPr>
        <w:t>new</w:t>
      </w:r>
      <w:r>
        <w:rPr>
          <w:spacing w:val="20"/>
          <w:w w:val="125"/>
        </w:rPr>
        <w:t> </w:t>
      </w:r>
      <w:r>
        <w:rPr>
          <w:w w:val="125"/>
        </w:rPr>
        <w:t>clients</w:t>
      </w:r>
      <w:r>
        <w:rPr>
          <w:spacing w:val="20"/>
          <w:w w:val="125"/>
        </w:rPr>
        <w:t> </w:t>
      </w:r>
      <w:r>
        <w:rPr>
          <w:w w:val="125"/>
        </w:rPr>
        <w:t>per</w:t>
      </w:r>
      <w:r>
        <w:rPr>
          <w:spacing w:val="20"/>
          <w:w w:val="125"/>
        </w:rPr>
        <w:t> </w:t>
      </w:r>
      <w:r>
        <w:rPr>
          <w:spacing w:val="-2"/>
          <w:w w:val="125"/>
        </w:rPr>
        <w:t>quarter</w:t>
      </w:r>
    </w:p>
    <w:p>
      <w:pPr>
        <w:pStyle w:val="BodyText"/>
        <w:spacing w:after="0"/>
        <w:sectPr>
          <w:type w:val="continuous"/>
          <w:pgSz w:w="11920" w:h="16860"/>
          <w:pgMar w:top="940" w:bottom="280" w:left="283" w:right="425"/>
          <w:cols w:num="2" w:equalWidth="0">
            <w:col w:w="3391" w:space="720"/>
            <w:col w:w="7101"/>
          </w:cols>
        </w:sectPr>
      </w:pPr>
    </w:p>
    <w:p>
      <w:pPr>
        <w:pStyle w:val="BodyText"/>
        <w:spacing w:before="2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286362"/>
                                </a:moveTo>
                                <a:lnTo>
                                  <a:pt x="0" y="52863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2863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5019662"/>
                                </a:lnTo>
                                <a:lnTo>
                                  <a:pt x="2581262" y="5019662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24449"/>
                            <a:ext cx="47625" cy="137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71600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687222"/>
                                </a:moveTo>
                                <a:lnTo>
                                  <a:pt x="27165" y="666750"/>
                                </a:lnTo>
                                <a:lnTo>
                                  <a:pt x="20472" y="666750"/>
                                </a:lnTo>
                                <a:lnTo>
                                  <a:pt x="0" y="687222"/>
                                </a:lnTo>
                                <a:lnTo>
                                  <a:pt x="0" y="690791"/>
                                </a:lnTo>
                                <a:lnTo>
                                  <a:pt x="0" y="693915"/>
                                </a:lnTo>
                                <a:lnTo>
                                  <a:pt x="20472" y="714375"/>
                                </a:lnTo>
                                <a:lnTo>
                                  <a:pt x="27165" y="714375"/>
                                </a:lnTo>
                                <a:lnTo>
                                  <a:pt x="47625" y="693915"/>
                                </a:lnTo>
                                <a:lnTo>
                                  <a:pt x="47625" y="687222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67702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67702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69341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495674"/>
                            <a:ext cx="219075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838450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219075" h="2838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838450">
                                <a:moveTo>
                                  <a:pt x="219075" y="2811297"/>
                                </a:moveTo>
                                <a:lnTo>
                                  <a:pt x="198615" y="2790825"/>
                                </a:lnTo>
                                <a:lnTo>
                                  <a:pt x="191922" y="2790825"/>
                                </a:lnTo>
                                <a:lnTo>
                                  <a:pt x="171450" y="2811297"/>
                                </a:lnTo>
                                <a:lnTo>
                                  <a:pt x="171450" y="2814866"/>
                                </a:lnTo>
                                <a:lnTo>
                                  <a:pt x="171450" y="2817990"/>
                                </a:lnTo>
                                <a:lnTo>
                                  <a:pt x="191922" y="2838450"/>
                                </a:lnTo>
                                <a:lnTo>
                                  <a:pt x="198615" y="2838450"/>
                                </a:lnTo>
                                <a:lnTo>
                                  <a:pt x="219075" y="2817990"/>
                                </a:lnTo>
                                <a:lnTo>
                                  <a:pt x="219075" y="2811297"/>
                                </a:lnTo>
                                <a:close/>
                              </a:path>
                              <a:path w="219075" h="2838450">
                                <a:moveTo>
                                  <a:pt x="219075" y="2430297"/>
                                </a:moveTo>
                                <a:lnTo>
                                  <a:pt x="198615" y="2409825"/>
                                </a:lnTo>
                                <a:lnTo>
                                  <a:pt x="191922" y="2409825"/>
                                </a:lnTo>
                                <a:lnTo>
                                  <a:pt x="171450" y="2430297"/>
                                </a:lnTo>
                                <a:lnTo>
                                  <a:pt x="171450" y="2433866"/>
                                </a:lnTo>
                                <a:lnTo>
                                  <a:pt x="171450" y="2436990"/>
                                </a:lnTo>
                                <a:lnTo>
                                  <a:pt x="191922" y="2457450"/>
                                </a:lnTo>
                                <a:lnTo>
                                  <a:pt x="198615" y="2457450"/>
                                </a:lnTo>
                                <a:lnTo>
                                  <a:pt x="219075" y="2436990"/>
                                </a:lnTo>
                                <a:lnTo>
                                  <a:pt x="219075" y="2430297"/>
                                </a:lnTo>
                                <a:close/>
                              </a:path>
                              <a:path w="219075" h="2838450">
                                <a:moveTo>
                                  <a:pt x="219075" y="1392072"/>
                                </a:moveTo>
                                <a:lnTo>
                                  <a:pt x="198615" y="1371600"/>
                                </a:lnTo>
                                <a:lnTo>
                                  <a:pt x="191922" y="1371600"/>
                                </a:lnTo>
                                <a:lnTo>
                                  <a:pt x="171450" y="1392072"/>
                                </a:lnTo>
                                <a:lnTo>
                                  <a:pt x="171450" y="1395641"/>
                                </a:lnTo>
                                <a:lnTo>
                                  <a:pt x="171450" y="1398765"/>
                                </a:lnTo>
                                <a:lnTo>
                                  <a:pt x="191922" y="1419225"/>
                                </a:lnTo>
                                <a:lnTo>
                                  <a:pt x="198615" y="1419225"/>
                                </a:lnTo>
                                <a:lnTo>
                                  <a:pt x="219075" y="1398765"/>
                                </a:lnTo>
                                <a:lnTo>
                                  <a:pt x="219075" y="1392072"/>
                                </a:lnTo>
                                <a:close/>
                              </a:path>
                              <a:path w="219075" h="2838450">
                                <a:moveTo>
                                  <a:pt x="219075" y="1007135"/>
                                </a:moveTo>
                                <a:lnTo>
                                  <a:pt x="202552" y="990600"/>
                                </a:lnTo>
                                <a:lnTo>
                                  <a:pt x="187985" y="990600"/>
                                </a:lnTo>
                                <a:lnTo>
                                  <a:pt x="171450" y="1007135"/>
                                </a:lnTo>
                                <a:lnTo>
                                  <a:pt x="171450" y="1009650"/>
                                </a:lnTo>
                                <a:lnTo>
                                  <a:pt x="171450" y="1012177"/>
                                </a:lnTo>
                                <a:lnTo>
                                  <a:pt x="187985" y="1028700"/>
                                </a:lnTo>
                                <a:lnTo>
                                  <a:pt x="202552" y="1028700"/>
                                </a:lnTo>
                                <a:lnTo>
                                  <a:pt x="219075" y="1012177"/>
                                </a:lnTo>
                                <a:lnTo>
                                  <a:pt x="219075" y="1007135"/>
                                </a:lnTo>
                                <a:close/>
                              </a:path>
                              <a:path w="219075" h="2838450">
                                <a:moveTo>
                                  <a:pt x="219075" y="620547"/>
                                </a:moveTo>
                                <a:lnTo>
                                  <a:pt x="198615" y="600075"/>
                                </a:lnTo>
                                <a:lnTo>
                                  <a:pt x="191922" y="600075"/>
                                </a:lnTo>
                                <a:lnTo>
                                  <a:pt x="171450" y="620547"/>
                                </a:lnTo>
                                <a:lnTo>
                                  <a:pt x="171450" y="624116"/>
                                </a:lnTo>
                                <a:lnTo>
                                  <a:pt x="171450" y="627240"/>
                                </a:lnTo>
                                <a:lnTo>
                                  <a:pt x="191922" y="647700"/>
                                </a:lnTo>
                                <a:lnTo>
                                  <a:pt x="198615" y="647700"/>
                                </a:lnTo>
                                <a:lnTo>
                                  <a:pt x="219075" y="627240"/>
                                </a:lnTo>
                                <a:lnTo>
                                  <a:pt x="219075" y="6205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0;top:2610;width:4065;height:14250" id="docshape2" coordorigin="0,2610" coordsize="4065,14250" path="m4065,10935l0,10935,0,16860,4065,16860,4065,10935xm4065,7800l0,7800,0,10515,4065,10515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a2b8de" stroked="false">
                  <v:fill type="solid"/>
                </v:rect>
                <v:shape style="position:absolute;left:420;top:990;width:3210;height:3225" type="#_x0000_t75" id="docshape4" stroked="false">
                  <v:imagedata r:id="rId7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8" o:title=""/>
                </v:shape>
                <v:shape style="position:absolute;left:425;top:5970;width:275;height:317" type="#_x0000_t75" id="docshape10" stroked="false">
                  <v:imagedata r:id="rId9" o:title=""/>
                </v:shape>
                <v:shape style="position:absolute;left:405;top:6426;width:317;height:274" type="#_x0000_t75" id="docshape11" stroked="false">
                  <v:imagedata r:id="rId10" o:title=""/>
                </v:shape>
                <v:shape style="position:absolute;left:406;top:6855;width:315;height:317" type="#_x0000_t75" id="docshape12" stroked="false">
                  <v:imagedata r:id="rId11" o:title=""/>
                </v:shape>
                <v:rect style="position:absolute;left:0;top:7380;width:4245;height:420" id="docshape13" filled="true" fillcolor="#f2f2f2" stroked="false">
                  <v:fill type="solid"/>
                </v:rect>
                <v:shape style="position:absolute;left:0;top:7380;width:4245;height:420" id="docshape14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5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070;width:75;height:2160" id="docshape16" coordorigin="405,8070" coordsize="75,2160" path="m480,10187l479,10182,475,10173,473,10169,466,10162,462,10160,453,10156,448,10155,437,10155,432,10156,423,10160,419,10162,412,10169,410,10173,406,10182,405,10187,405,10193,405,10198,406,10203,410,10212,412,10216,419,10223,423,10225,432,10229,437,10230,448,10230,453,10229,462,10225,466,10223,473,10216,475,10212,479,10203,480,10198,480,10187xm480,9842l479,9837,475,9828,473,9824,466,9817,462,9815,453,9811,448,9810,437,9810,432,9811,423,9815,419,9817,412,9824,410,9828,406,9837,405,9842,405,9848,405,9853,406,9858,410,9867,412,9871,419,9878,423,9880,432,9884,437,9885,448,9885,453,9884,462,9880,466,9878,473,9871,475,9867,479,9858,480,9853,480,9842xm480,9497l479,9492,475,9483,473,9479,466,9472,462,9470,453,9466,448,9465,437,9465,432,9466,423,9470,419,9472,412,9479,410,9483,406,9492,405,9497,405,9503,405,9508,406,9513,410,9522,412,9526,419,9533,423,9535,432,9539,437,9540,448,9540,453,9539,462,9535,466,9533,473,9526,475,9522,479,9513,480,9508,480,9497xm480,9152l479,9147,475,9138,473,9134,466,9127,462,9125,453,9121,448,9120,437,9120,432,9121,423,9125,419,9127,412,9134,410,9138,406,9147,405,9152,405,9158,405,9163,406,9168,410,9177,412,9181,419,9188,423,9190,432,9194,437,9195,448,9195,453,9194,462,9190,466,9188,473,9181,475,9177,479,9168,480,9163,480,9152xm480,8807l479,8802,475,8793,473,8789,466,8782,462,8780,453,8776,448,8775,437,8775,432,8776,423,8780,419,8782,412,8789,410,8793,406,8802,405,8807,405,8813,405,8818,406,8823,410,8832,412,8836,419,8843,423,8845,432,8849,437,8850,448,8850,453,8849,462,8845,466,8843,473,8836,475,8832,479,8823,480,8818,480,8807xm480,8462l479,8457,475,8448,473,8444,466,8437,462,8435,453,8431,448,8430,437,8430,432,8431,423,8435,419,8437,412,8444,410,8448,406,8457,405,8462,405,8468,405,8473,406,8478,410,8487,412,8491,419,8498,423,8500,432,8504,437,8505,448,8505,453,8504,462,8500,466,8498,473,8491,475,8487,479,8478,480,8473,480,8462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e" filled="true" fillcolor="#000000" stroked="false">
                  <v:path arrowok="t"/>
                  <v:fill type="solid"/>
                </v:shape>
                <v:rect style="position:absolute;left:0;top:10515;width:4245;height:420" id="docshape17" filled="true" fillcolor="#f2f2f2" stroked="false">
                  <v:fill type="solid"/>
                </v:rect>
                <v:shape style="position:absolute;left:0;top:10515;width:4245;height:420" id="docshape18" coordorigin="0,10515" coordsize="4245,420" path="m4245,10515l4230,10515,0,10515,0,10530,4230,10530,4230,10920,0,10920,0,10935,4230,10935,4245,10935,4245,10515xe" filled="true" fillcolor="#000000" stroked="false">
                  <v:path arrowok="t"/>
                  <v:fill opacity="16960f" type="solid"/>
                </v:shape>
                <v:shape style="position:absolute;left:4065;top:10920;width:180;height:315" id="docshape19" coordorigin="4065,10920" coordsize="180,315" path="m4065,11235l4065,10920,4245,10920,4065,11235xe" filled="true" fillcolor="#999999" stroked="false">
                  <v:path arrowok="t"/>
                  <v:fill type="solid"/>
                </v:shape>
                <v:shape style="position:absolute;left:4784;top:5505;width:345;height:4470" id="docshape20" coordorigin="4785,5505" coordsize="345,4470" path="m4860,8387l4859,8382,4855,8373,4853,8369,4846,8362,4842,8360,4833,8356,4828,8355,4817,8355,4812,8356,4803,8360,4799,8362,4792,8369,4790,8373,4786,8382,4785,8387,4785,8393,4785,8398,4786,8403,4790,8412,4792,8416,4799,8423,4803,8425,4812,8429,4817,8430,4828,8430,4833,8429,4842,8425,4846,8423,4853,8416,4855,8412,4859,8403,4860,8398,4860,8387xm4860,5537l4859,5532,4855,5523,4853,5519,4846,5512,4842,5510,4833,5506,4828,5505,4817,5505,4812,5506,4803,5510,4799,5512,4792,5519,4790,5523,4786,5532,4785,5537,4785,5543,4785,5548,4786,5553,4790,5562,4792,5566,4799,5573,4803,5575,4812,5579,4817,5580,4828,5580,4833,5579,4842,5575,4846,5573,4853,5566,4855,5562,4859,5553,4860,5548,4860,5537xm5130,9932l5129,9927,5125,9918,5123,9914,5116,9907,5112,9905,5103,9901,5098,9900,5087,9900,5082,9901,5073,9905,5069,9907,5062,9914,5060,9918,5056,9927,5055,9932,5055,9938,5055,9943,5056,9948,5060,9957,5062,9961,5069,9968,5073,9970,5082,9974,5087,9975,5098,9975,5103,9974,5112,9970,5116,9968,5123,9961,5125,9957,5129,9948,5130,9943,5130,9932xm5130,9332l5129,9327,5125,9318,5123,9314,5116,9307,5112,9305,5103,9301,5098,9300,5087,9300,5082,9301,5073,9305,5069,9307,5062,9314,5060,9318,5056,9327,5055,9332,5055,9338,5055,9343,5056,9348,5060,9357,5062,9361,5069,9368,5073,9370,5082,9374,5087,9375,5098,9375,5103,9374,5112,9370,5116,9368,5123,9361,5125,9357,5129,9348,5130,9343,5130,9332xm5130,7697l5129,7692,5125,7683,5123,7679,5116,7672,5112,7670,5103,7666,5098,7665,5087,7665,5082,7666,5073,7670,5069,7672,5062,7679,5060,7683,5056,7692,5055,7697,5055,7703,5055,7708,5056,7713,5060,7722,5062,7726,5069,7733,5073,7735,5082,7739,5087,7740,5098,7740,5103,7739,5112,7735,5116,7733,5123,7726,5125,7722,5129,7713,5130,7708,5130,7697xm5130,7091l5129,7087,5126,7080,5124,7077,5118,7071,5115,7069,5108,7066,5104,7065,5081,7065,5077,7066,5070,7069,5067,7071,5061,7077,5059,7080,5056,7087,5055,7091,5055,7095,5055,7099,5056,7103,5059,7110,5061,7113,5067,7119,5070,7121,5077,7124,5081,7125,5104,7125,5108,7124,5115,7121,5118,7119,5124,7113,5126,7110,5129,7103,5130,7099,5130,7091xm5130,6482l5129,6477,5125,6468,5123,6464,5116,6457,5112,6455,5103,6451,5098,6450,5087,6450,5082,6451,5073,6455,5069,6457,5062,6464,5060,6468,5056,6477,5055,6482,5055,6488,5055,6493,5056,6498,5060,6507,5062,6511,5069,6518,5073,6520,5082,6524,5087,6525,5098,6525,5103,6524,5112,6520,5116,6518,5123,6511,5125,6507,5129,6498,5130,6493,5130,64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A2B8DE"/>
          <w:spacing w:val="-2"/>
          <w:sz w:val="15"/>
        </w:rPr>
        <w:t>EDUCATION</w:t>
      </w:r>
    </w:p>
    <w:p>
      <w:pPr>
        <w:pStyle w:val="BodyText"/>
        <w:spacing w:before="114"/>
        <w:rPr>
          <w:rFonts w:ascii="Arial"/>
          <w:b/>
        </w:rPr>
      </w:pPr>
    </w:p>
    <w:p>
      <w:pPr>
        <w:pStyle w:val="BodyText"/>
        <w:spacing w:line="278" w:lineRule="auto" w:before="1"/>
        <w:ind w:left="127" w:right="7787"/>
      </w:pPr>
      <w:r>
        <w:rPr>
          <w:w w:val="125"/>
        </w:rPr>
        <w:t>Associate of Science in Legal Support Services</w:t>
      </w:r>
    </w:p>
    <w:p>
      <w:pPr>
        <w:pStyle w:val="BodyText"/>
        <w:spacing w:line="278" w:lineRule="auto"/>
        <w:ind w:left="127" w:right="7787"/>
      </w:pPr>
      <w:r>
        <w:rPr>
          <w:w w:val="125"/>
        </w:rPr>
        <w:t>Community College of Baltimore </w:t>
      </w:r>
      <w:r>
        <w:rPr>
          <w:spacing w:val="-2"/>
          <w:w w:val="125"/>
        </w:rPr>
        <w:t>County</w:t>
      </w:r>
    </w:p>
    <w:p>
      <w:pPr>
        <w:pStyle w:val="BodyText"/>
        <w:ind w:left="127"/>
      </w:pPr>
      <w:r>
        <w:rPr>
          <w:w w:val="115"/>
        </w:rPr>
        <w:t>May</w:t>
      </w:r>
      <w:r>
        <w:rPr>
          <w:spacing w:val="28"/>
          <w:w w:val="115"/>
        </w:rPr>
        <w:t> </w:t>
      </w:r>
      <w:r>
        <w:rPr>
          <w:spacing w:val="-4"/>
          <w:w w:val="115"/>
        </w:rPr>
        <w:t>2016</w:t>
      </w:r>
    </w:p>
    <w:sectPr>
      <w:type w:val="continuous"/>
      <w:pgSz w:w="11920" w:h="16860"/>
      <w:pgMar w:top="9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377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377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folio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2026-02-16T11:50:10Z</dcterms:created>
  <dcterms:modified xsi:type="dcterms:W3CDTF">2026-02-16T11:50:10Z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