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</w:rPr>
        <w:t>Chris</w:t>
      </w:r>
      <w:r>
        <w:rPr>
          <w:color w:val="FFFFFF"/>
          <w:spacing w:val="18"/>
        </w:rPr>
        <w:t> </w:t>
      </w:r>
      <w:r>
        <w:rPr>
          <w:color w:val="FFFFFF"/>
          <w:spacing w:val="8"/>
        </w:rPr>
        <w:t>Jackson</w:t>
      </w:r>
    </w:p>
    <w:p>
      <w:pPr>
        <w:pStyle w:val="Heading3"/>
      </w:pPr>
      <w:r>
        <w:rPr>
          <w:color w:val="FFFFFF"/>
          <w:w w:val="105"/>
        </w:rPr>
        <w:t>Clinical</w:t>
      </w:r>
      <w:r>
        <w:rPr>
          <w:color w:val="FFFFFF"/>
          <w:spacing w:val="18"/>
          <w:w w:val="105"/>
        </w:rPr>
        <w:t> </w:t>
      </w:r>
      <w:r>
        <w:rPr>
          <w:color w:val="FFFFFF"/>
          <w:w w:val="105"/>
        </w:rPr>
        <w:t>Research</w:t>
      </w:r>
      <w:r>
        <w:rPr>
          <w:color w:val="FFFFFF"/>
          <w:spacing w:val="17"/>
          <w:w w:val="105"/>
        </w:rPr>
        <w:t> </w:t>
      </w:r>
      <w:r>
        <w:rPr>
          <w:color w:val="FFFFFF"/>
          <w:spacing w:val="-2"/>
          <w:w w:val="105"/>
        </w:rPr>
        <w:t>Assistant</w:t>
      </w:r>
    </w:p>
    <w:p>
      <w:pPr>
        <w:spacing w:before="188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Clinical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Research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Assistant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with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focus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on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patient-centered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spacing w:val="-4"/>
          <w:w w:val="135"/>
          <w:sz w:val="16"/>
        </w:rPr>
        <w:t>care</w:t>
      </w:r>
    </w:p>
    <w:p>
      <w:pPr>
        <w:spacing w:line="259" w:lineRule="auto" w:before="15"/>
        <w:ind w:left="274" w:right="29" w:firstLine="0"/>
        <w:jc w:val="left"/>
        <w:rPr>
          <w:sz w:val="16"/>
        </w:rPr>
      </w:pPr>
      <w:r>
        <w:rPr>
          <w:color w:val="FFFFFF"/>
          <w:w w:val="130"/>
          <w:sz w:val="16"/>
        </w:rPr>
        <w:t>Over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three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supporting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Phase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II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III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trials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hospital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academic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settings.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Skilled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regulatory documentation,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participant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recruitment,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data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collection.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Committed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to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upholding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ethical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standards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9"/>
          <w:w w:val="130"/>
          <w:sz w:val="16"/>
        </w:rPr>
        <w:t> </w:t>
      </w:r>
      <w:r>
        <w:rPr>
          <w:color w:val="FFFFFF"/>
          <w:w w:val="130"/>
          <w:sz w:val="16"/>
        </w:rPr>
        <w:t>maintaining detailed records in compliance with FDA and IRB guidelines.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Heading2"/>
        <w:spacing w:line="252" w:lineRule="auto" w:before="102"/>
      </w:pPr>
      <w:r>
        <w:rPr>
          <w:color w:val="424242"/>
          <w:spacing w:val="-2"/>
          <w:w w:val="110"/>
          <w:sz w:val="52"/>
        </w:rPr>
        <w:t>P</w:t>
      </w:r>
      <w:r>
        <w:rPr>
          <w:color w:val="424242"/>
          <w:spacing w:val="-2"/>
          <w:w w:val="110"/>
        </w:rPr>
        <w:t>ERSONAL INFORMATION</w:t>
      </w:r>
    </w:p>
    <w:p>
      <w:pPr>
        <w:pStyle w:val="BodyText"/>
        <w:spacing w:before="24"/>
        <w:rPr>
          <w:rFonts w:ascii="Trebuchet MS"/>
          <w:b/>
          <w:sz w:val="31"/>
        </w:rPr>
      </w:pPr>
    </w:p>
    <w:p>
      <w:pPr>
        <w:pStyle w:val="BodyText"/>
        <w:spacing w:before="1"/>
        <w:ind w:left="665"/>
      </w:pPr>
      <w:r>
        <w:rPr>
          <w:color w:val="424242"/>
          <w:w w:val="120"/>
        </w:rPr>
        <w:t>(555)</w:t>
      </w:r>
      <w:r>
        <w:rPr>
          <w:color w:val="424242"/>
          <w:spacing w:val="15"/>
          <w:w w:val="120"/>
        </w:rPr>
        <w:t> </w:t>
      </w:r>
      <w:r>
        <w:rPr>
          <w:color w:val="424242"/>
          <w:w w:val="120"/>
        </w:rPr>
        <w:t>000-</w:t>
      </w:r>
      <w:r>
        <w:rPr>
          <w:color w:val="424242"/>
          <w:spacing w:val="-4"/>
          <w:w w:val="120"/>
        </w:rPr>
        <w:t>0000</w:t>
      </w:r>
    </w:p>
    <w:p>
      <w:pPr>
        <w:pStyle w:val="BodyText"/>
        <w:spacing w:before="145"/>
      </w:pPr>
    </w:p>
    <w:p>
      <w:pPr>
        <w:pStyle w:val="BodyText"/>
        <w:spacing w:line="155" w:lineRule="exact"/>
        <w:ind w:left="665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BodyText"/>
        <w:spacing w:before="188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2"/>
      </w:pPr>
      <w:r>
        <w:rPr>
          <w:color w:val="424242"/>
          <w:spacing w:val="10"/>
          <w:w w:val="105"/>
          <w:sz w:val="52"/>
        </w:rPr>
        <w:t>P</w:t>
      </w:r>
      <w:r>
        <w:rPr>
          <w:color w:val="424242"/>
          <w:spacing w:val="10"/>
          <w:w w:val="105"/>
        </w:rPr>
        <w:t>ROFESSIONAL</w:t>
      </w:r>
      <w:r>
        <w:rPr>
          <w:color w:val="424242"/>
          <w:spacing w:val="40"/>
          <w:w w:val="110"/>
        </w:rPr>
        <w:t> </w:t>
      </w:r>
      <w:r>
        <w:rPr>
          <w:color w:val="424242"/>
          <w:spacing w:val="-2"/>
          <w:w w:val="110"/>
        </w:rPr>
        <w:t>EXPERIENCE</w:t>
      </w:r>
    </w:p>
    <w:p>
      <w:pPr>
        <w:pStyle w:val="BodyText"/>
        <w:spacing w:before="42"/>
        <w:rPr>
          <w:rFonts w:ascii="Trebuchet MS"/>
          <w:b/>
          <w:sz w:val="31"/>
        </w:rPr>
      </w:pPr>
    </w:p>
    <w:p>
      <w:pPr>
        <w:pStyle w:val="BodyText"/>
        <w:spacing w:line="252" w:lineRule="auto"/>
        <w:ind w:left="442" w:right="100"/>
      </w:pPr>
      <w:r>
        <w:rPr>
          <w:w w:val="125"/>
        </w:rPr>
        <w:t>CLINICAL</w:t>
      </w:r>
      <w:r>
        <w:rPr>
          <w:spacing w:val="40"/>
          <w:w w:val="125"/>
        </w:rPr>
        <w:t> </w:t>
      </w:r>
      <w:r>
        <w:rPr>
          <w:w w:val="125"/>
        </w:rPr>
        <w:t>RESEARCH</w:t>
      </w:r>
      <w:r>
        <w:rPr>
          <w:spacing w:val="40"/>
          <w:w w:val="125"/>
        </w:rPr>
        <w:t> </w:t>
      </w:r>
      <w:r>
        <w:rPr>
          <w:w w:val="125"/>
        </w:rPr>
        <w:t>ASSISTANT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STATE</w:t>
      </w:r>
      <w:r>
        <w:rPr>
          <w:spacing w:val="40"/>
          <w:w w:val="125"/>
        </w:rPr>
        <w:t> </w:t>
      </w:r>
      <w:r>
        <w:rPr>
          <w:w w:val="125"/>
        </w:rPr>
        <w:t>MEDICAL</w:t>
      </w:r>
      <w:r>
        <w:rPr>
          <w:spacing w:val="40"/>
          <w:w w:val="125"/>
        </w:rPr>
        <w:t> </w:t>
      </w:r>
      <w:r>
        <w:rPr>
          <w:w w:val="125"/>
        </w:rPr>
        <w:t>CENTER,</w:t>
      </w:r>
      <w:r>
        <w:rPr>
          <w:spacing w:val="40"/>
          <w:w w:val="125"/>
        </w:rPr>
        <w:t> </w:t>
      </w:r>
      <w:r>
        <w:rPr>
          <w:w w:val="125"/>
        </w:rPr>
        <w:t>BOSTON,</w:t>
      </w:r>
      <w:r>
        <w:rPr>
          <w:spacing w:val="40"/>
          <w:w w:val="125"/>
        </w:rPr>
        <w:t> </w:t>
      </w:r>
      <w:r>
        <w:rPr>
          <w:w w:val="125"/>
        </w:rPr>
        <w:t>MA, JUNE 2021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20" w:bottom="280" w:left="283" w:right="141"/>
          <w:cols w:num="2" w:equalWidth="0">
            <w:col w:w="2632" w:space="902"/>
            <w:col w:w="7962"/>
          </w:cols>
        </w:sectPr>
      </w:pPr>
    </w:p>
    <w:p>
      <w:pPr>
        <w:pStyle w:val="BodyText"/>
      </w:pPr>
    </w:p>
    <w:p>
      <w:pPr>
        <w:pStyle w:val="BodyText"/>
        <w:spacing w:before="20"/>
      </w:pPr>
    </w:p>
    <w:p>
      <w:pPr>
        <w:pStyle w:val="BodyText"/>
        <w:spacing w:line="672" w:lineRule="auto"/>
        <w:ind w:left="665" w:right="38"/>
      </w:pPr>
      <w:r>
        <w:rPr>
          <w:color w:val="424242"/>
          <w:spacing w:val="-2"/>
          <w:w w:val="130"/>
        </w:rPr>
        <w:t>LinkedIn </w:t>
      </w:r>
      <w:r>
        <w:rPr>
          <w:color w:val="424242"/>
          <w:w w:val="130"/>
        </w:rPr>
        <w:t>City, ST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16" w:lineRule="auto" w:before="22" w:after="0"/>
        <w:ind w:left="962" w:right="605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Coordinate daily operations for two concurrent cardiovascular drug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studies with over 150 enrolled participants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01" w:lineRule="auto" w:before="67" w:after="0"/>
        <w:ind w:left="962" w:right="296" w:hanging="298"/>
        <w:jc w:val="left"/>
        <w:rPr>
          <w:sz w:val="18"/>
        </w:rPr>
      </w:pPr>
      <w:r>
        <w:rPr>
          <w:w w:val="130"/>
          <w:sz w:val="18"/>
        </w:rPr>
        <w:t>Collect and enter patient data into EDC systems, reducing entry errors by 30% through thorough cross-checking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240" w:lineRule="auto" w:before="29" w:after="0"/>
        <w:ind w:left="961" w:right="0" w:hanging="296"/>
        <w:jc w:val="left"/>
        <w:rPr>
          <w:sz w:val="18"/>
        </w:rPr>
      </w:pPr>
      <w:r>
        <w:rPr>
          <w:w w:val="130"/>
          <w:sz w:val="18"/>
        </w:rPr>
        <w:t>Prepare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documentation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for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IRB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submissions</w:t>
      </w:r>
      <w:r>
        <w:rPr>
          <w:spacing w:val="9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protocol</w:t>
      </w:r>
      <w:r>
        <w:rPr>
          <w:spacing w:val="10"/>
          <w:w w:val="130"/>
          <w:sz w:val="18"/>
        </w:rPr>
        <w:t> </w:t>
      </w:r>
      <w:r>
        <w:rPr>
          <w:spacing w:val="-2"/>
          <w:w w:val="130"/>
          <w:sz w:val="18"/>
        </w:rPr>
        <w:t>amendments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20" w:bottom="280" w:left="283" w:right="141"/>
          <w:cols w:num="2" w:equalWidth="0">
            <w:col w:w="1519" w:space="1941"/>
            <w:col w:w="8036"/>
          </w:cols>
        </w:sectPr>
      </w:pPr>
    </w:p>
    <w:p>
      <w:pPr>
        <w:pStyle w:val="Heading2"/>
        <w:spacing w:before="73"/>
      </w:pPr>
      <w:r>
        <w:rPr>
          <w:color w:val="424242"/>
          <w:spacing w:val="-2"/>
          <w:w w:val="110"/>
          <w:sz w:val="52"/>
        </w:rPr>
        <w:t>E</w:t>
      </w:r>
      <w:r>
        <w:rPr>
          <w:color w:val="424242"/>
          <w:spacing w:val="-2"/>
          <w:w w:val="110"/>
        </w:rPr>
        <w:t>DUCATION</w:t>
      </w:r>
    </w:p>
    <w:p>
      <w:pPr>
        <w:pStyle w:val="BodyText"/>
        <w:spacing w:before="13"/>
        <w:rPr>
          <w:rFonts w:ascii="Trebuchet MS"/>
          <w:b/>
          <w:sz w:val="31"/>
        </w:rPr>
      </w:pPr>
    </w:p>
    <w:p>
      <w:pPr>
        <w:pStyle w:val="BodyText"/>
        <w:spacing w:line="244" w:lineRule="auto"/>
        <w:ind w:left="200"/>
      </w:pPr>
      <w:r>
        <w:rPr>
          <w:color w:val="424242"/>
          <w:w w:val="120"/>
        </w:rPr>
        <w:t>Bachelor of Science in Health</w:t>
      </w:r>
      <w:r>
        <w:rPr>
          <w:color w:val="424242"/>
          <w:spacing w:val="80"/>
          <w:w w:val="120"/>
        </w:rPr>
        <w:t> </w:t>
      </w:r>
      <w:r>
        <w:rPr>
          <w:color w:val="424242"/>
          <w:w w:val="120"/>
        </w:rPr>
        <w:t>Sciences </w:t>
      </w:r>
      <w:r>
        <w:rPr>
          <w:color w:val="424242"/>
        </w:rPr>
        <w:t>| </w:t>
      </w:r>
      <w:r>
        <w:rPr>
          <w:color w:val="424242"/>
          <w:w w:val="120"/>
        </w:rPr>
        <w:t>2020</w:t>
      </w:r>
    </w:p>
    <w:p>
      <w:pPr>
        <w:pStyle w:val="BodyText"/>
        <w:spacing w:line="244" w:lineRule="auto" w:before="17"/>
        <w:ind w:left="200"/>
      </w:pPr>
      <w:r>
        <w:rPr>
          <w:color w:val="424242"/>
          <w:w w:val="125"/>
        </w:rPr>
        <w:t>Northeastern University, Boston, MA</w:t>
      </w:r>
    </w:p>
    <w:p>
      <w:pPr>
        <w:pStyle w:val="BodyText"/>
        <w:spacing w:before="215"/>
      </w:pPr>
    </w:p>
    <w:p>
      <w:pPr>
        <w:pStyle w:val="Heading2"/>
      </w:pPr>
      <w:r>
        <w:rPr>
          <w:color w:val="424242"/>
          <w:spacing w:val="13"/>
          <w:w w:val="105"/>
          <w:sz w:val="52"/>
        </w:rPr>
        <w:t>K</w:t>
      </w:r>
      <w:r>
        <w:rPr>
          <w:color w:val="424242"/>
          <w:spacing w:val="13"/>
          <w:w w:val="105"/>
        </w:rPr>
        <w:t>EY</w:t>
      </w:r>
      <w:r>
        <w:rPr>
          <w:color w:val="424242"/>
          <w:spacing w:val="-2"/>
          <w:w w:val="105"/>
        </w:rPr>
        <w:t> </w:t>
      </w:r>
      <w:r>
        <w:rPr>
          <w:color w:val="424242"/>
          <w:spacing w:val="-2"/>
          <w:w w:val="110"/>
        </w:rPr>
        <w:t>SKILLS</w:t>
      </w:r>
    </w:p>
    <w:p>
      <w:pPr>
        <w:pStyle w:val="BodyText"/>
        <w:spacing w:before="29"/>
        <w:rPr>
          <w:rFonts w:ascii="Trebuchet MS"/>
          <w:b/>
        </w:rPr>
      </w:pPr>
      <w:r>
        <w:rPr/>
        <w:br w:type="column"/>
      </w:r>
      <w:r>
        <w:rPr>
          <w:rFonts w:ascii="Trebuchet MS"/>
          <w:b/>
        </w:rPr>
      </w:r>
    </w:p>
    <w:p>
      <w:pPr>
        <w:pStyle w:val="BodyText"/>
        <w:spacing w:line="252" w:lineRule="auto"/>
        <w:ind w:left="70"/>
      </w:pPr>
      <w:r>
        <w:rPr>
          <w:w w:val="125"/>
        </w:rPr>
        <w:t>RESEARCH</w:t>
      </w:r>
      <w:r>
        <w:rPr>
          <w:spacing w:val="40"/>
          <w:w w:val="125"/>
        </w:rPr>
        <w:t> </w:t>
      </w:r>
      <w:r>
        <w:rPr>
          <w:w w:val="125"/>
        </w:rPr>
        <w:t>INTERN</w:t>
      </w:r>
      <w:r>
        <w:rPr>
          <w:spacing w:val="60"/>
          <w:w w:val="125"/>
        </w:rPr>
        <w:t> </w:t>
      </w:r>
      <w:r>
        <w:rPr>
          <w:position w:val="1"/>
        </w:rPr>
        <w:t>|</w:t>
      </w:r>
      <w:r>
        <w:rPr>
          <w:spacing w:val="62"/>
          <w:w w:val="125"/>
          <w:position w:val="1"/>
        </w:rPr>
        <w:t> </w:t>
      </w:r>
      <w:r>
        <w:rPr>
          <w:w w:val="125"/>
        </w:rPr>
        <w:t>CHILDREN’S</w:t>
      </w:r>
      <w:r>
        <w:rPr>
          <w:spacing w:val="40"/>
          <w:w w:val="125"/>
        </w:rPr>
        <w:t> </w:t>
      </w:r>
      <w:r>
        <w:rPr>
          <w:w w:val="125"/>
        </w:rPr>
        <w:t>HOSPITAL</w:t>
      </w:r>
      <w:r>
        <w:rPr>
          <w:spacing w:val="40"/>
          <w:w w:val="125"/>
        </w:rPr>
        <w:t> </w:t>
      </w:r>
      <w:r>
        <w:rPr>
          <w:w w:val="125"/>
        </w:rPr>
        <w:t>RESEARCH</w:t>
      </w:r>
      <w:r>
        <w:rPr>
          <w:spacing w:val="40"/>
          <w:w w:val="125"/>
        </w:rPr>
        <w:t> </w:t>
      </w:r>
      <w:r>
        <w:rPr>
          <w:w w:val="125"/>
        </w:rPr>
        <w:t>INSTITUTE,</w:t>
      </w:r>
      <w:r>
        <w:rPr>
          <w:spacing w:val="40"/>
          <w:w w:val="125"/>
        </w:rPr>
        <w:t> </w:t>
      </w:r>
      <w:r>
        <w:rPr>
          <w:w w:val="125"/>
        </w:rPr>
        <w:t>BOSTON,</w:t>
      </w:r>
      <w:r>
        <w:rPr>
          <w:spacing w:val="40"/>
          <w:w w:val="125"/>
        </w:rPr>
        <w:t> </w:t>
      </w:r>
      <w:r>
        <w:rPr>
          <w:spacing w:val="-4"/>
          <w:w w:val="125"/>
        </w:rPr>
        <w:t>MA,</w:t>
      </w:r>
    </w:p>
    <w:p>
      <w:pPr>
        <w:pStyle w:val="BodyText"/>
        <w:spacing w:line="215" w:lineRule="exact"/>
        <w:ind w:left="70"/>
      </w:pPr>
      <w:r>
        <w:rPr>
          <w:w w:val="120"/>
        </w:rPr>
        <w:t>JANUARY</w:t>
      </w:r>
      <w:r>
        <w:rPr>
          <w:spacing w:val="37"/>
          <w:w w:val="120"/>
        </w:rPr>
        <w:t> </w:t>
      </w:r>
      <w:r>
        <w:rPr>
          <w:w w:val="120"/>
        </w:rPr>
        <w:t>2020</w:t>
      </w:r>
      <w:r>
        <w:rPr>
          <w:spacing w:val="37"/>
          <w:w w:val="120"/>
        </w:rPr>
        <w:t> </w:t>
      </w:r>
      <w:r>
        <w:rPr>
          <w:w w:val="120"/>
        </w:rPr>
        <w:t>–</w:t>
      </w:r>
      <w:r>
        <w:rPr>
          <w:spacing w:val="37"/>
          <w:w w:val="120"/>
        </w:rPr>
        <w:t> </w:t>
      </w:r>
      <w:r>
        <w:rPr>
          <w:w w:val="120"/>
        </w:rPr>
        <w:t>MAY</w:t>
      </w:r>
      <w:r>
        <w:rPr>
          <w:spacing w:val="37"/>
          <w:w w:val="120"/>
        </w:rPr>
        <w:t> </w:t>
      </w:r>
      <w:r>
        <w:rPr>
          <w:spacing w:val="-4"/>
          <w:w w:val="120"/>
        </w:rPr>
        <w:t>2021</w:t>
      </w:r>
    </w:p>
    <w:p>
      <w:pPr>
        <w:pStyle w:val="BodyText"/>
        <w:spacing w:before="13"/>
      </w:pPr>
    </w:p>
    <w:p>
      <w:pPr>
        <w:pStyle w:val="ListParagraph"/>
        <w:numPr>
          <w:ilvl w:val="0"/>
          <w:numId w:val="2"/>
        </w:numPr>
        <w:tabs>
          <w:tab w:pos="514" w:val="left" w:leader="none"/>
          <w:tab w:pos="516" w:val="left" w:leader="none"/>
        </w:tabs>
        <w:spacing w:line="213" w:lineRule="auto" w:before="1" w:after="0"/>
        <w:ind w:left="516" w:right="340" w:hanging="298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Supported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senior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research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staff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in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managing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pediatric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diabetes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study, </w:t>
      </w:r>
      <w:r>
        <w:rPr>
          <w:w w:val="125"/>
          <w:sz w:val="18"/>
        </w:rPr>
        <w:t>including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participant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scheduling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survey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administration</w:t>
      </w:r>
    </w:p>
    <w:p>
      <w:pPr>
        <w:pStyle w:val="ListParagraph"/>
        <w:numPr>
          <w:ilvl w:val="0"/>
          <w:numId w:val="2"/>
        </w:numPr>
        <w:tabs>
          <w:tab w:pos="514" w:val="left" w:leader="none"/>
          <w:tab w:pos="516" w:val="left" w:leader="none"/>
        </w:tabs>
        <w:spacing w:line="201" w:lineRule="auto" w:before="67" w:after="0"/>
        <w:ind w:left="516" w:right="755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Maintained participant logs and ensured compliance with federal </w:t>
      </w:r>
      <w:r>
        <w:rPr>
          <w:spacing w:val="-2"/>
          <w:w w:val="130"/>
          <w:sz w:val="18"/>
        </w:rPr>
        <w:t>regulations</w:t>
      </w:r>
    </w:p>
    <w:p>
      <w:pPr>
        <w:pStyle w:val="ListParagraph"/>
        <w:numPr>
          <w:ilvl w:val="0"/>
          <w:numId w:val="2"/>
        </w:numPr>
        <w:tabs>
          <w:tab w:pos="514" w:val="left" w:leader="none"/>
        </w:tabs>
        <w:spacing w:line="240" w:lineRule="auto" w:before="29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Summarized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weekly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progress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updates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the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principal</w:t>
      </w:r>
      <w:r>
        <w:rPr>
          <w:spacing w:val="38"/>
          <w:w w:val="125"/>
          <w:sz w:val="18"/>
        </w:rPr>
        <w:t> </w:t>
      </w:r>
      <w:r>
        <w:rPr>
          <w:spacing w:val="-2"/>
          <w:w w:val="125"/>
          <w:sz w:val="18"/>
        </w:rPr>
        <w:t>investigator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141"/>
          <w:cols w:num="2" w:equalWidth="0">
            <w:col w:w="3029" w:space="877"/>
            <w:col w:w="7590"/>
          </w:cols>
        </w:sectPr>
      </w:pPr>
    </w:p>
    <w:p>
      <w:pPr>
        <w:pStyle w:val="BodyText"/>
        <w:spacing w:before="1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677274"/>
                            <a:ext cx="2381250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028825">
                                <a:moveTo>
                                  <a:pt x="0" y="2028824"/>
                                </a:moveTo>
                                <a:lnTo>
                                  <a:pt x="2381249" y="20288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28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71700">
                                <a:moveTo>
                                  <a:pt x="7568183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171699"/>
                            <a:ext cx="2381250" cy="650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505575">
                                <a:moveTo>
                                  <a:pt x="2381249" y="6505574"/>
                                </a:moveTo>
                                <a:lnTo>
                                  <a:pt x="0" y="65055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505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327659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6290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405225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4291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8628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rect style="position:absolute;left:0;top:13665;width:3750;height:3195" id="docshape2" filled="true" fillcolor="#f5f5f5" stroked="false">
                  <v:fill type="solid"/>
                </v:rect>
                <v:rect style="position:absolute;left:0;top:0;width:11919;height:3420" id="docshape3" filled="true" fillcolor="#424242" stroked="false">
                  <v:fill type="solid"/>
                </v:rect>
                <v:rect style="position:absolute;left:0;top:3420;width:3750;height:10245" id="docshape4" filled="true" fillcolor="#f5f5f5" stroked="false">
                  <v:fill type="solid"/>
                </v:rect>
                <v:shape style="position:absolute;left:480;top:5160;width:298;height:298" type="#_x0000_t75" id="docshape5" stroked="false">
                  <v:imagedata r:id="rId6" o:title=""/>
                </v:shape>
                <v:shape style="position:absolute;left:480;top:5715;width:298;height:343" type="#_x0000_t75" id="docshape6" stroked="false">
                  <v:imagedata r:id="rId7" o:title=""/>
                </v:shape>
                <v:shape style="position:absolute;left:480;top:6381;width:298;height:258" type="#_x0000_t75" id="docshape7" stroked="false">
                  <v:imagedata r:id="rId8" o:title=""/>
                </v:shape>
                <v:shape style="position:absolute;left:480;top:6975;width:298;height:300" type="#_x0000_t75" id="docshape8" stroked="false">
                  <v:imagedata r:id="rId9" o:title=""/>
                </v:shape>
                <v:shape style="position:absolute;left:2700;top:2933;width:9218;height:1070" id="docshape9" coordorigin="2701,2934" coordsize="9218,1070" path="m10166,4003l10065,4003,9962,4003,9858,4001,9752,3998,9645,3994,9537,3989,9427,3983,9316,3976,9204,3967,9090,3958,8976,3947,8860,3935,8743,3922,8625,3908,8507,3892,8387,3875,8266,3856,8144,3837,8022,3815,7775,3770,7651,3748,7529,3727,7407,3707,7287,3688,7167,3670,7048,3653,6930,3637,6813,3621,6697,3607,6582,3593,6468,3580,6356,3568,6244,3557,6133,3546,6024,3536,5916,3527,5809,3518,5704,3510,5599,3502,5496,3495,5395,3489,5295,3483,5099,3473,4908,3464,4724,3456,4547,3450,4293,3443,3565,3426,3443,3422,3329,3418,3224,3413,3128,3407,3041,3400,2963,3391,2895,3381,2811,3362,2750,3338,2702,3286,2701,3273,2702,3260,2740,3210,2800,3176,2886,3144,2957,3125,3039,3107,3131,3090,3233,3074,3345,3060,3466,3046,3530,3039,3596,3033,3664,3027,3735,3021,3807,3016,3958,3006,4117,2996,4283,2988,4456,2980,4636,2973,4822,2966,5014,2961,5212,2956,5519,2949,5837,2944,6164,2940,6614,2937,7193,2934,7787,2934,8032,2934,8275,2936,8514,2940,8749,2944,8980,2950,9207,2958,9429,2966,9646,2975,9858,2986,10064,2998,10265,3011,10460,3025,10555,3032,10648,3040,10740,3047,10830,3055,10918,3064,11004,3072,11089,3081,11172,3090,11253,3099,11332,3108,11409,3118,11484,3128,11557,3138,11628,3148,11697,3158,11763,3169,11828,3180,11918,3196,11918,3827,11830,3846,11766,3859,11699,3872,11630,3884,11559,3896,11486,3908,11411,3919,11334,3929,11255,3939,11174,3948,11091,3957,11007,3965,10920,3972,10832,3979,10742,3985,10650,3990,10556,3994,10461,3998,10365,4001,10266,4002,10166,400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495" w:val="left" w:leader="none"/>
          <w:tab w:pos="497" w:val="left" w:leader="none"/>
        </w:tabs>
        <w:spacing w:line="201" w:lineRule="auto" w:before="0" w:after="0"/>
        <w:ind w:left="497" w:right="9490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Clinical trial </w:t>
      </w:r>
      <w:r>
        <w:rPr>
          <w:color w:val="424242"/>
          <w:spacing w:val="-2"/>
          <w:w w:val="125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495" w:val="left" w:leader="none"/>
          <w:tab w:pos="497" w:val="left" w:leader="none"/>
        </w:tabs>
        <w:spacing w:line="216" w:lineRule="auto" w:before="55" w:after="0"/>
        <w:ind w:left="497" w:right="8732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Electronic data capture </w:t>
      </w:r>
      <w:r>
        <w:rPr>
          <w:color w:val="424242"/>
          <w:spacing w:val="-4"/>
          <w:w w:val="130"/>
          <w:sz w:val="18"/>
        </w:rPr>
        <w:t>(EDC)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11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HIPAA</w:t>
      </w:r>
      <w:r>
        <w:rPr>
          <w:color w:val="424242"/>
          <w:spacing w:val="18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Informed</w:t>
      </w:r>
      <w:r>
        <w:rPr>
          <w:color w:val="424242"/>
          <w:spacing w:val="41"/>
          <w:w w:val="125"/>
          <w:sz w:val="18"/>
        </w:rPr>
        <w:t> </w:t>
      </w:r>
      <w:r>
        <w:rPr>
          <w:color w:val="424242"/>
          <w:w w:val="125"/>
          <w:sz w:val="18"/>
        </w:rPr>
        <w:t>consent</w:t>
      </w:r>
      <w:r>
        <w:rPr>
          <w:color w:val="424242"/>
          <w:spacing w:val="42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process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Patient</w:t>
      </w:r>
      <w:r>
        <w:rPr>
          <w:color w:val="424242"/>
          <w:spacing w:val="47"/>
          <w:w w:val="125"/>
          <w:sz w:val="18"/>
        </w:rPr>
        <w:t> </w:t>
      </w:r>
      <w:r>
        <w:rPr>
          <w:color w:val="424242"/>
          <w:w w:val="125"/>
          <w:sz w:val="18"/>
        </w:rPr>
        <w:t>follow-</w:t>
      </w:r>
      <w:r>
        <w:rPr>
          <w:color w:val="424242"/>
          <w:spacing w:val="-5"/>
          <w:w w:val="125"/>
          <w:sz w:val="18"/>
        </w:rPr>
        <w:t>up</w:t>
      </w:r>
    </w:p>
    <w:sectPr>
      <w:type w:val="continuous"/>
      <w:pgSz w:w="11920" w:h="16860"/>
      <w:pgMar w:top="420" w:bottom="28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2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7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1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/>
      <w:ind w:left="43" w:right="11"/>
      <w:jc w:val="center"/>
      <w:outlineLvl w:val="1"/>
    </w:pPr>
    <w:rPr>
      <w:rFonts w:ascii="Trebuchet MS" w:hAnsi="Trebuchet MS" w:eastAsia="Trebuchet MS" w:cs="Trebuchet MS"/>
      <w:b/>
      <w:bCs/>
      <w:sz w:val="72"/>
      <w:szCs w:val="7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Trebuchet MS" w:hAnsi="Trebuchet MS" w:eastAsia="Trebuchet MS" w:cs="Trebuchet MS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8"/>
      <w:ind w:left="43"/>
      <w:jc w:val="center"/>
      <w:outlineLvl w:val="3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2026-02-12T05:31:03Z</dcterms:created>
  <dcterms:modified xsi:type="dcterms:W3CDTF">2026-02-12T05:31:03Z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