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020049"/>
                            <a:ext cx="5067935" cy="268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684780">
                                <a:moveTo>
                                  <a:pt x="0" y="2684526"/>
                                </a:moveTo>
                                <a:lnTo>
                                  <a:pt x="5067450" y="26845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845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33662"/>
                            <a:ext cx="5063490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486400">
                                <a:moveTo>
                                  <a:pt x="5063109" y="4229087"/>
                                </a:moveTo>
                                <a:lnTo>
                                  <a:pt x="0" y="4229087"/>
                                </a:lnTo>
                                <a:lnTo>
                                  <a:pt x="0" y="5486387"/>
                                </a:lnTo>
                                <a:lnTo>
                                  <a:pt x="5063109" y="5486387"/>
                                </a:lnTo>
                                <a:lnTo>
                                  <a:pt x="5063109" y="4229087"/>
                                </a:lnTo>
                                <a:close/>
                              </a:path>
                              <a:path w="5063490" h="5486400">
                                <a:moveTo>
                                  <a:pt x="5063109" y="552437"/>
                                </a:moveTo>
                                <a:lnTo>
                                  <a:pt x="0" y="552437"/>
                                </a:lnTo>
                                <a:lnTo>
                                  <a:pt x="0" y="3800462"/>
                                </a:lnTo>
                                <a:lnTo>
                                  <a:pt x="5063109" y="3800462"/>
                                </a:lnTo>
                                <a:lnTo>
                                  <a:pt x="5063109" y="552437"/>
                                </a:lnTo>
                                <a:close/>
                              </a:path>
                              <a:path w="5063490" h="54864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08152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7574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923882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968931"/>
                            <a:ext cx="3902075" cy="125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3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Public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Accountant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(CPA),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Colorado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Board</w:t>
                              </w:r>
                              <w:r>
                                <w:rPr>
                                  <w:spacing w:val="3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Accountancy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90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2016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63341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5C2525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8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20"/>
                                  <w:sz w:val="28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254432"/>
                            <a:ext cx="4106545" cy="9156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Prepared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monthly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financial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statements,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reporting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accuracy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providing key insights for executive leadership</w:t>
                              </w:r>
                            </w:p>
                            <w:p>
                              <w:pPr>
                                <w:spacing w:line="271" w:lineRule="auto"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Reconciled general ledger accounts and managed AP and receivable, ensuring compliance with GAAP</w:t>
                              </w:r>
                            </w:p>
                            <w:p>
                              <w:pPr>
                                <w:spacing w:line="271" w:lineRule="auto" w:before="8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 in tax preparation and financial audits, reducing tax filing discrepancies by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209382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852949"/>
                            <a:ext cx="3095625" cy="3003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Accountant</w:t>
                              </w:r>
                              <w:r>
                                <w:rPr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90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7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Rocky</w:t>
                              </w:r>
                              <w:r>
                                <w:rPr>
                                  <w:spacing w:val="2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Mountain</w:t>
                              </w:r>
                              <w:r>
                                <w:rPr>
                                  <w:spacing w:val="2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Manufacturing,</w:t>
                              </w:r>
                              <w:r>
                                <w:rPr>
                                  <w:spacing w:val="2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Denver,</w:t>
                              </w:r>
                              <w:r>
                                <w:rPr>
                                  <w:spacing w:val="2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CO</w:t>
                              </w:r>
                            </w:p>
                            <w:p>
                              <w:pPr>
                                <w:spacing w:before="37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2014</w:t>
                              </w:r>
                              <w:r>
                                <w:rPr>
                                  <w:spacing w:val="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July</w:t>
                              </w:r>
                              <w:r>
                                <w:rPr>
                                  <w:spacing w:val="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10"/>
                                  <w:sz w:val="18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701857"/>
                            <a:ext cx="3922395" cy="9156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Manage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month-end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year-end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close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processes,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ensuring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timely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accurate reporting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corporation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$120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million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annual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revenue</w:t>
                              </w:r>
                            </w:p>
                            <w:p>
                              <w:pPr>
                                <w:spacing w:line="271" w:lineRule="auto" w:before="10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Implement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internal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controls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reduced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financial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reporting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errors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30%</w:t>
                              </w:r>
                              <w:r>
                                <w:rPr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and improved audit readiness</w:t>
                              </w:r>
                            </w:p>
                            <w:p>
                              <w:pPr>
                                <w:spacing w:line="271" w:lineRule="auto" w:before="71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Lead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budget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forecasting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initiatives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identified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cost-saving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opportunities, reducing</w:t>
                              </w:r>
                              <w:r>
                                <w:rPr>
                                  <w:spacing w:val="3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operational</w:t>
                              </w:r>
                              <w:r>
                                <w:rPr>
                                  <w:spacing w:val="3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expenses</w:t>
                              </w:r>
                              <w:r>
                                <w:rPr>
                                  <w:spacing w:val="3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$500,000</w:t>
                              </w:r>
                              <w:r>
                                <w:rPr>
                                  <w:spacing w:val="3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annually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65680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8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309899"/>
                            <a:ext cx="3077210" cy="290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Senior Accountant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sz w:val="18"/>
                                </w:rPr>
                                <w:t>Summit Financial Group, Denver, CO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July 2018 </w:t>
                              </w:r>
                              <w:r>
                                <w:rPr>
                                  <w:w w:val="155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65747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5C2525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8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4"/>
                                  <w:w w:val="12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50"/>
                                  <w:w w:val="12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25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657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0"/>
                                <w:ind w:left="3" w:right="12" w:firstLine="0"/>
                                <w:jc w:val="center"/>
                                <w:rPr>
                                  <w:rFonts w:ascii="Calibri"/>
                                  <w:sz w:val="7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74"/>
                                </w:rPr>
                                <w:t>Brandy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30"/>
                                  <w:w w:val="125"/>
                                  <w:sz w:val="74"/>
                                </w:rPr>
                                <w:t> 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74"/>
                                </w:rPr>
                                <w:t>Turner</w:t>
                              </w:r>
                            </w:p>
                            <w:p>
                              <w:pPr>
                                <w:spacing w:before="117"/>
                                <w:ind w:left="12" w:right="9" w:firstLine="0"/>
                                <w:jc w:val="center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Experienced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9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Accountant</w:t>
                              </w:r>
                            </w:p>
                            <w:p>
                              <w:pPr>
                                <w:spacing w:before="166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accountant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financial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management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compliance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115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Senior accountant with 10 years of experience overseeing financial reporting, budget analysis, and regulatory compliance for corporations with revenues exceeding $100 million. Skilled in improving accounting operations, implementing internal controls, and managing</w:t>
                              </w:r>
                              <w:r>
                                <w:rPr>
                                  <w:color w:val="FFFFFF"/>
                                  <w:spacing w:val="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audits</w:t>
                              </w:r>
                              <w:r>
                                <w:rPr>
                                  <w:color w:val="FFFFFF"/>
                                  <w:spacing w:val="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ensure</w:t>
                              </w:r>
                              <w:r>
                                <w:rPr>
                                  <w:color w:val="FFFFFF"/>
                                  <w:spacing w:val="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financial</w:t>
                              </w:r>
                              <w:r>
                                <w:rPr>
                                  <w:color w:val="FFFFFF"/>
                                  <w:spacing w:val="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accuracy.</w:t>
                              </w:r>
                              <w:r>
                                <w:rPr>
                                  <w:color w:val="FFFFFF"/>
                                  <w:spacing w:val="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Adept</w:t>
                              </w:r>
                              <w:r>
                                <w:rPr>
                                  <w:color w:val="FFFFFF"/>
                                  <w:spacing w:val="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color w:val="FFFFFF"/>
                                  <w:spacing w:val="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collaborating</w:t>
                              </w:r>
                              <w:r>
                                <w:rPr>
                                  <w:color w:val="FFFFFF"/>
                                  <w:spacing w:val="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executive</w:t>
                              </w:r>
                              <w:r>
                                <w:rPr>
                                  <w:color w:val="FFFFFF"/>
                                  <w:spacing w:val="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color w:val="FFFFFF"/>
                                  <w:spacing w:val="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color w:val="FFFFFF"/>
                                  <w:spacing w:val="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data-driven</w:t>
                              </w:r>
                              <w:r>
                                <w:rPr>
                                  <w:color w:val="FFFFFF"/>
                                  <w:spacing w:val="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decision-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6"/>
                                </w:rPr>
                                <w:t>making.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4688" id="docshapegroup1" coordorigin="0,0" coordsize="11919,16858">
                <v:rect style="position:absolute;left:3938;top:12630;width:7981;height:4228" id="docshape2" filled="true" fillcolor="#5c2525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shape style="position:absolute;left:3944;top:3990;width:7974;height:8640" id="docshape4" coordorigin="3945,3990" coordsize="7974,8640" path="m11918,10650l3945,10650,3945,12630,11918,12630,11918,10650xm11918,4860l3945,4860,3945,9975,11918,9975,11918,4860xm11918,3990l3945,3990,3945,4185,11918,4185,11918,3990xe" filled="true" fillcolor="#5c2525" stroked="false">
                  <v:path arrowok="t"/>
                  <v:fill opacity="32899f" type="solid"/>
                </v:shape>
                <v:shape style="position:absolute;left:3657;top:4852;width:288;height:418" type="#_x0000_t75" id="docshape5" stroked="false">
                  <v:imagedata r:id="rId5" o:title=""/>
                </v:shape>
                <v:shape style="position:absolute;left:3657;top:10641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0903;width:131;height:35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0974;width:6145;height:197" type="#_x0000_t202" id="docshape8" filled="false" stroked="false">
                  <v:textbox inset="0,0,0,0">
                    <w:txbxContent>
                      <w:p>
                        <w:pPr>
                          <w:spacing w:before="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Certified</w:t>
                        </w:r>
                        <w:r>
                          <w:rPr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Public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Accountant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(CPA),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Colorado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State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Board</w:t>
                        </w:r>
                        <w:r>
                          <w:rPr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of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Accountancy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w w:val="90"/>
                            <w:sz w:val="16"/>
                          </w:rPr>
                          <w:t>|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2016</w:t>
                        </w:r>
                      </w:p>
                    </w:txbxContent>
                  </v:textbox>
                  <w10:wrap type="none"/>
                </v:shape>
                <v:shape style="position:absolute;left:3660;top:9975;width:8259;height:675" type="#_x0000_t202" id="docshape9" filled="true" fillcolor="#5c2525" stroked="false">
                  <v:textbox inset="0,0,0,0">
                    <w:txbxContent>
                      <w:p>
                        <w:pPr>
                          <w:spacing w:before="168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20"/>
                            <w:sz w:val="28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274;width:6467;height:1442" type="#_x0000_t202" id="docshape10" filled="false" stroked="false">
                  <v:textbox inset="0,0,0,0">
                    <w:txbxContent>
                      <w:p>
                        <w:pPr>
                          <w:spacing w:line="271" w:lineRule="auto" w:before="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Prepared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monthly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financial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statements,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improving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reporting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accuracy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providing key insights for executive leadership</w:t>
                        </w:r>
                      </w:p>
                      <w:p>
                        <w:pPr>
                          <w:spacing w:line="271" w:lineRule="auto"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Reconciled general ledger accounts and managed AP and receivable, ensuring compliance with GAAP</w:t>
                        </w:r>
                      </w:p>
                      <w:p>
                        <w:pPr>
                          <w:spacing w:line="271" w:lineRule="auto" w:before="8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 in tax preparation and financial audits, reducing tax filing discrepancies by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20%</w:t>
                        </w:r>
                      </w:p>
                    </w:txbxContent>
                  </v:textbox>
                  <w10:wrap type="none"/>
                </v:shape>
                <v:shape style="position:absolute;left:4817;top:8203;width:131;height:1389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642;width:4875;height:473" type="#_x0000_t202" id="docshape12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Accountant</w:t>
                        </w:r>
                        <w:r>
                          <w:rPr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w w:val="90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37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Rocky</w:t>
                        </w:r>
                        <w:r>
                          <w:rPr>
                            <w:spacing w:val="2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Mountain</w:t>
                        </w:r>
                        <w:r>
                          <w:rPr>
                            <w:spacing w:val="2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Manufacturing,</w:t>
                        </w:r>
                        <w:r>
                          <w:rPr>
                            <w:spacing w:val="2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Denver,</w:t>
                        </w:r>
                        <w:r>
                          <w:rPr>
                            <w:spacing w:val="27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CO</w:t>
                        </w:r>
                      </w:p>
                      <w:p>
                        <w:pPr>
                          <w:spacing w:before="37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August</w:t>
                        </w:r>
                        <w:r>
                          <w:rPr>
                            <w:spacing w:val="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2014</w:t>
                        </w:r>
                        <w:r>
                          <w:rPr>
                            <w:spacing w:val="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July</w:t>
                        </w:r>
                        <w:r>
                          <w:rPr>
                            <w:spacing w:val="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10"/>
                            <w:sz w:val="18"/>
                          </w:rPr>
                          <w:t>2018</w:t>
                        </w:r>
                      </w:p>
                    </w:txbxContent>
                  </v:textbox>
                  <w10:wrap type="none"/>
                </v:shape>
                <v:shape style="position:absolute;left:5114;top:5829;width:6177;height:1442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Manage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month-end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year-end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close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processes,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ensuring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timely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accurate reporting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for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corporation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with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$120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million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annual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revenue</w:t>
                        </w:r>
                      </w:p>
                      <w:p>
                        <w:pPr>
                          <w:spacing w:line="271" w:lineRule="auto" w:before="10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Implement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internal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controls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that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reduced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financial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reporting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errors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by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30%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and improved audit readiness</w:t>
                        </w:r>
                      </w:p>
                      <w:p>
                        <w:pPr>
                          <w:spacing w:line="271" w:lineRule="auto" w:before="71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Lead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budget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forecasting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initiatives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that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identified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cost-saving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opportunities, reducing</w:t>
                        </w:r>
                        <w:r>
                          <w:rPr>
                            <w:spacing w:val="3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operational</w:t>
                        </w:r>
                        <w:r>
                          <w:rPr>
                            <w:spacing w:val="3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expenses</w:t>
                        </w:r>
                        <w:r>
                          <w:rPr>
                            <w:spacing w:val="3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by</w:t>
                        </w:r>
                        <w:r>
                          <w:rPr>
                            <w:spacing w:val="3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$500,000</w:t>
                        </w:r>
                        <w:r>
                          <w:rPr>
                            <w:spacing w:val="3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annually</w:t>
                        </w:r>
                      </w:p>
                    </w:txbxContent>
                  </v:textbox>
                  <w10:wrap type="none"/>
                </v:shape>
                <v:shape style="position:absolute;left:4817;top:5758;width:131;height:1389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8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212;width:4846;height:458" type="#_x0000_t202" id="docshape15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Senior Accountant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sz w:val="18"/>
                          </w:rPr>
                          <w:t>Summit Financial Group, Denver, CO </w:t>
                        </w:r>
                        <w:r>
                          <w:rPr>
                            <w:w w:val="105"/>
                            <w:sz w:val="18"/>
                          </w:rPr>
                          <w:t>July 2018 </w:t>
                        </w:r>
                        <w:r>
                          <w:rPr>
                            <w:w w:val="155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4185;width:8259;height:675" type="#_x0000_t202" id="docshape16" filled="true" fillcolor="#5c2525" stroked="false">
                  <v:textbox inset="0,0,0,0">
                    <w:txbxContent>
                      <w:p>
                        <w:pPr>
                          <w:spacing w:before="168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4"/>
                            <w:w w:val="120"/>
                            <w:sz w:val="28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50"/>
                            <w:w w:val="125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25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4185" type="#_x0000_t202" id="docshape17" filled="false" stroked="false">
                  <v:textbox inset="0,0,0,0">
                    <w:txbxContent>
                      <w:p>
                        <w:pPr>
                          <w:spacing w:before="840"/>
                          <w:ind w:left="3" w:right="12" w:firstLine="0"/>
                          <w:jc w:val="center"/>
                          <w:rPr>
                            <w:rFonts w:ascii="Calibri"/>
                            <w:sz w:val="7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74"/>
                          </w:rPr>
                          <w:t>Brandy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30"/>
                            <w:w w:val="125"/>
                            <w:sz w:val="74"/>
                          </w:rPr>
                          <w:t> 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74"/>
                          </w:rPr>
                          <w:t>Turner</w:t>
                        </w:r>
                      </w:p>
                      <w:p>
                        <w:pPr>
                          <w:spacing w:before="117"/>
                          <w:ind w:left="12" w:right="9" w:firstLine="0"/>
                          <w:jc w:val="center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Experienced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9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Accountant</w:t>
                        </w:r>
                      </w:p>
                      <w:p>
                        <w:pPr>
                          <w:spacing w:before="166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Skilled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accountant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expertise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financial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management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6"/>
                          </w:rPr>
                          <w:t>compliance</w:t>
                        </w:r>
                      </w:p>
                      <w:p>
                        <w:pPr>
                          <w:spacing w:line="271" w:lineRule="auto" w:before="24"/>
                          <w:ind w:left="873" w:right="115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Senior accountant with 10 years of experience overseeing financial reporting, budget analysis, and regulatory compliance for corporations with revenues exceeding $100 million. Skilled in improving accounting operations, implementing internal controls, and managing</w:t>
                        </w:r>
                        <w:r>
                          <w:rPr>
                            <w:color w:val="FFFFFF"/>
                            <w:spacing w:val="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audits</w:t>
                        </w:r>
                        <w:r>
                          <w:rPr>
                            <w:color w:val="FFFFFF"/>
                            <w:spacing w:val="4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to</w:t>
                        </w:r>
                        <w:r>
                          <w:rPr>
                            <w:color w:val="FFFFFF"/>
                            <w:spacing w:val="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ensure</w:t>
                        </w:r>
                        <w:r>
                          <w:rPr>
                            <w:color w:val="FFFFFF"/>
                            <w:spacing w:val="4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financial</w:t>
                        </w:r>
                        <w:r>
                          <w:rPr>
                            <w:color w:val="FFFFFF"/>
                            <w:spacing w:val="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accuracy.</w:t>
                        </w:r>
                        <w:r>
                          <w:rPr>
                            <w:color w:val="FFFFFF"/>
                            <w:spacing w:val="4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Adept</w:t>
                        </w:r>
                        <w:r>
                          <w:rPr>
                            <w:color w:val="FFFFFF"/>
                            <w:spacing w:val="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at</w:t>
                        </w:r>
                        <w:r>
                          <w:rPr>
                            <w:color w:val="FFFFFF"/>
                            <w:spacing w:val="4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collaborating</w:t>
                        </w:r>
                        <w:r>
                          <w:rPr>
                            <w:color w:val="FFFFFF"/>
                            <w:spacing w:val="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4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executive</w:t>
                        </w:r>
                        <w:r>
                          <w:rPr>
                            <w:color w:val="FFFFFF"/>
                            <w:spacing w:val="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teams</w:t>
                        </w:r>
                        <w:r>
                          <w:rPr>
                            <w:color w:val="FFFFFF"/>
                            <w:spacing w:val="4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to</w:t>
                        </w:r>
                        <w:r>
                          <w:rPr>
                            <w:color w:val="FFFFFF"/>
                            <w:spacing w:val="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support</w:t>
                        </w:r>
                        <w:r>
                          <w:rPr>
                            <w:color w:val="FFFFFF"/>
                            <w:spacing w:val="4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data-driven</w:t>
                        </w:r>
                        <w:r>
                          <w:rPr>
                            <w:color w:val="FFFFFF"/>
                            <w:spacing w:val="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decision-</w:t>
                        </w:r>
                        <w:r>
                          <w:rPr>
                            <w:color w:val="FFFFFF"/>
                            <w:spacing w:val="-2"/>
                            <w:sz w:val="16"/>
                          </w:rPr>
                          <w:t>making.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0"/>
        </w:rPr>
      </w:pPr>
    </w:p>
    <w:p>
      <w:pPr>
        <w:pStyle w:val="Heading1"/>
      </w:pPr>
      <w:r>
        <w:rPr>
          <w:smallCaps/>
          <w:color w:val="5C2525"/>
          <w:w w:val="120"/>
        </w:rPr>
        <w:t>Personal</w:t>
      </w:r>
      <w:r>
        <w:rPr>
          <w:smallCaps/>
          <w:color w:val="5C2525"/>
          <w:spacing w:val="75"/>
          <w:w w:val="120"/>
        </w:rPr>
        <w:t> </w:t>
      </w:r>
      <w:r>
        <w:rPr>
          <w:smallCaps/>
          <w:color w:val="5C2525"/>
          <w:spacing w:val="-2"/>
          <w:w w:val="120"/>
        </w:rPr>
        <w:t>Information</w:t>
      </w:r>
    </w:p>
    <w:p>
      <w:pPr>
        <w:pStyle w:val="BodyText"/>
        <w:spacing w:before="70"/>
        <w:rPr>
          <w:rFonts w:ascii="Calibri"/>
          <w:b/>
          <w:sz w:val="20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5"/>
        </w:rPr>
        <w:drawing>
          <wp:inline distT="0" distB="0" distL="0" distR="0">
            <wp:extent cx="165348" cy="161925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8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1"/>
      </w:pPr>
    </w:p>
    <w:p>
      <w:pPr>
        <w:pStyle w:val="BodyText"/>
        <w:tabs>
          <w:tab w:pos="795" w:val="left" w:leader="none"/>
        </w:tabs>
        <w:spacing w:line="480" w:lineRule="auto"/>
        <w:ind w:left="271" w:right="6932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brandy.turner@email.com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334" cy="16192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</w:rPr>
        <w:tab/>
      </w:r>
      <w:r>
        <w:rPr>
          <w:color w:val="424242"/>
        </w:rPr>
        <w:t>Denver, CO</w:t>
      </w:r>
    </w:p>
    <w:p>
      <w:pPr>
        <w:pStyle w:val="Heading1"/>
        <w:spacing w:before="49"/>
      </w:pPr>
      <w:r>
        <w:rPr>
          <w:smallCaps/>
          <w:color w:val="5C2525"/>
          <w:spacing w:val="-2"/>
          <w:w w:val="120"/>
        </w:rPr>
        <w:t>Education</w:t>
      </w:r>
    </w:p>
    <w:p>
      <w:pPr>
        <w:pStyle w:val="BodyText"/>
        <w:spacing w:before="81"/>
        <w:rPr>
          <w:rFonts w:ascii="Calibri"/>
          <w:b/>
          <w:sz w:val="20"/>
        </w:rPr>
      </w:pPr>
    </w:p>
    <w:p>
      <w:pPr>
        <w:pStyle w:val="BodyText"/>
        <w:spacing w:line="276" w:lineRule="auto" w:before="1"/>
        <w:ind w:left="274" w:right="6932"/>
      </w:pPr>
      <w:r>
        <w:rPr>
          <w:w w:val="105"/>
        </w:rPr>
        <w:t>Bachelor of Science (B.S.) </w:t>
      </w:r>
      <w:r>
        <w:rPr>
          <w:spacing w:val="-2"/>
          <w:w w:val="105"/>
        </w:rPr>
        <w:t>Accounting</w:t>
      </w:r>
    </w:p>
    <w:p>
      <w:pPr>
        <w:pStyle w:val="BodyText"/>
        <w:spacing w:line="193" w:lineRule="exact"/>
        <w:ind w:left="274"/>
      </w:pPr>
      <w:r>
        <w:rPr/>
        <w:t>Colorado</w:t>
      </w:r>
      <w:r>
        <w:rPr>
          <w:spacing w:val="18"/>
        </w:rPr>
        <w:t> </w:t>
      </w:r>
      <w:r>
        <w:rPr/>
        <w:t>State</w:t>
      </w:r>
      <w:r>
        <w:rPr>
          <w:spacing w:val="19"/>
        </w:rPr>
        <w:t> </w:t>
      </w:r>
      <w:r>
        <w:rPr/>
        <w:t>University,</w:t>
      </w:r>
      <w:r>
        <w:rPr>
          <w:spacing w:val="19"/>
        </w:rPr>
        <w:t> </w:t>
      </w:r>
      <w:r>
        <w:rPr>
          <w:spacing w:val="-4"/>
        </w:rPr>
        <w:t>Fort</w:t>
      </w:r>
    </w:p>
    <w:p>
      <w:pPr>
        <w:pStyle w:val="BodyText"/>
        <w:spacing w:before="31"/>
        <w:ind w:left="274"/>
      </w:pPr>
      <w:r>
        <w:rPr/>
        <w:t>Collins, CO </w:t>
      </w:r>
      <w:r>
        <w:rPr>
          <w:w w:val="85"/>
        </w:rPr>
        <w:t>|</w:t>
      </w:r>
      <w:r>
        <w:rPr/>
        <w:t> </w:t>
      </w:r>
      <w:r>
        <w:rPr>
          <w:spacing w:val="-4"/>
        </w:rPr>
        <w:t>2014</w:t>
      </w:r>
    </w:p>
    <w:p>
      <w:pPr>
        <w:pStyle w:val="BodyText"/>
        <w:spacing w:before="99"/>
      </w:pPr>
    </w:p>
    <w:p>
      <w:pPr>
        <w:pStyle w:val="Heading1"/>
      </w:pPr>
      <w:r>
        <w:rPr>
          <w:smallCaps/>
          <w:color w:val="5C2525"/>
          <w:w w:val="125"/>
        </w:rPr>
        <w:t>Key</w:t>
      </w:r>
      <w:r>
        <w:rPr>
          <w:smallCaps/>
          <w:color w:val="5C2525"/>
          <w:spacing w:val="25"/>
          <w:w w:val="125"/>
        </w:rPr>
        <w:t> </w:t>
      </w:r>
      <w:r>
        <w:rPr>
          <w:smallCaps/>
          <w:color w:val="5C2525"/>
          <w:spacing w:val="-2"/>
          <w:w w:val="125"/>
        </w:rPr>
        <w:t>Skills</w:t>
      </w:r>
    </w:p>
    <w:p>
      <w:pPr>
        <w:pStyle w:val="BodyText"/>
        <w:spacing w:before="14"/>
        <w:rPr>
          <w:rFonts w:ascii="Calibri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Financial</w:t>
      </w:r>
      <w:r>
        <w:rPr>
          <w:color w:val="424242"/>
          <w:spacing w:val="26"/>
          <w:sz w:val="18"/>
        </w:rPr>
        <w:t> </w:t>
      </w:r>
      <w:r>
        <w:rPr>
          <w:color w:val="424242"/>
          <w:sz w:val="18"/>
        </w:rPr>
        <w:t>reporting</w:t>
      </w:r>
      <w:r>
        <w:rPr>
          <w:color w:val="424242"/>
          <w:spacing w:val="26"/>
          <w:sz w:val="18"/>
        </w:rPr>
        <w:t> </w:t>
      </w:r>
      <w:r>
        <w:rPr>
          <w:color w:val="424242"/>
          <w:sz w:val="18"/>
        </w:rPr>
        <w:t>and</w:t>
      </w:r>
      <w:r>
        <w:rPr>
          <w:color w:val="424242"/>
          <w:spacing w:val="26"/>
          <w:sz w:val="18"/>
        </w:rPr>
        <w:t> </w:t>
      </w:r>
      <w:r>
        <w:rPr>
          <w:color w:val="424242"/>
          <w:spacing w:val="-2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2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Budgeting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3" w:lineRule="auto" w:before="12" w:after="0"/>
        <w:ind w:left="572" w:right="6749" w:hanging="298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05"/>
          <w:position w:val="1"/>
          <w:sz w:val="18"/>
        </w:rPr>
        <w:t>GAAP compliance and internal </w:t>
      </w:r>
      <w:r>
        <w:rPr>
          <w:color w:val="424242"/>
          <w:spacing w:val="-2"/>
          <w:w w:val="105"/>
          <w:sz w:val="18"/>
        </w:rPr>
        <w:t>controls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4" w:lineRule="auto" w:before="73" w:after="0"/>
        <w:ind w:left="572" w:right="6774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Month-end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year-end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close </w:t>
      </w:r>
      <w:r>
        <w:rPr>
          <w:color w:val="424242"/>
          <w:spacing w:val="-2"/>
          <w:w w:val="105"/>
          <w:sz w:val="18"/>
        </w:rPr>
        <w:t>processes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8" w:lineRule="auto" w:before="59" w:after="0"/>
        <w:ind w:left="572" w:right="7420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Tax planning and audit </w:t>
      </w:r>
      <w:r>
        <w:rPr>
          <w:color w:val="424242"/>
          <w:spacing w:val="-2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8" w:lineRule="auto" w:before="41" w:after="0"/>
        <w:ind w:left="572" w:right="7246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Process automation and efficiency improvements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2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brandy.turner@email.com" TargetMode="External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2026-02-20T12:15:04Z</dcterms:created>
  <dcterms:modified xsi:type="dcterms:W3CDTF">2026-02-20T12:15:04Z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