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0"/>
        <w:ind w:left="0" w:firstLine="0"/>
        <w:rPr>
          <w:rFonts w:ascii="Times New Roman"/>
          <w:sz w:val="70"/>
        </w:rPr>
      </w:pPr>
    </w:p>
    <w:p>
      <w:pPr>
        <w:spacing w:before="1"/>
        <w:ind w:left="2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98B78"/>
          <w:spacing w:val="9"/>
          <w:w w:val="125"/>
          <w:sz w:val="70"/>
        </w:rPr>
        <w:t>Shawn</w:t>
      </w:r>
      <w:r>
        <w:rPr>
          <w:rFonts w:ascii="Calibri"/>
          <w:b/>
          <w:color w:val="F98B78"/>
          <w:spacing w:val="78"/>
          <w:w w:val="150"/>
          <w:sz w:val="70"/>
        </w:rPr>
        <w:t> </w:t>
      </w:r>
      <w:r>
        <w:rPr>
          <w:rFonts w:ascii="Calibri"/>
          <w:color w:val="F98B78"/>
          <w:spacing w:val="-4"/>
          <w:w w:val="125"/>
          <w:sz w:val="70"/>
        </w:rPr>
        <w:t>White</w:t>
      </w:r>
    </w:p>
    <w:p>
      <w:pPr>
        <w:spacing w:before="134"/>
        <w:ind w:left="154" w:right="0" w:firstLine="0"/>
        <w:jc w:val="left"/>
        <w:rPr>
          <w:rFonts w:ascii="Calibri"/>
          <w:sz w:val="26"/>
        </w:rPr>
      </w:pPr>
      <w:r>
        <w:rPr>
          <w:rFonts w:ascii="Calibri"/>
          <w:color w:val="F98B78"/>
          <w:w w:val="125"/>
          <w:sz w:val="26"/>
        </w:rPr>
        <w:t>Commercial</w:t>
      </w:r>
      <w:r>
        <w:rPr>
          <w:rFonts w:ascii="Calibri"/>
          <w:color w:val="F98B78"/>
          <w:spacing w:val="-9"/>
          <w:w w:val="125"/>
          <w:sz w:val="26"/>
        </w:rPr>
        <w:t> </w:t>
      </w:r>
      <w:r>
        <w:rPr>
          <w:rFonts w:ascii="Calibri"/>
          <w:color w:val="F98B78"/>
          <w:w w:val="125"/>
          <w:sz w:val="26"/>
        </w:rPr>
        <w:t>Real</w:t>
      </w:r>
      <w:r>
        <w:rPr>
          <w:rFonts w:ascii="Calibri"/>
          <w:color w:val="F98B78"/>
          <w:spacing w:val="-8"/>
          <w:w w:val="125"/>
          <w:sz w:val="26"/>
        </w:rPr>
        <w:t> </w:t>
      </w:r>
      <w:r>
        <w:rPr>
          <w:rFonts w:ascii="Calibri"/>
          <w:color w:val="F98B78"/>
          <w:w w:val="125"/>
          <w:sz w:val="26"/>
        </w:rPr>
        <w:t>Estate</w:t>
      </w:r>
      <w:r>
        <w:rPr>
          <w:rFonts w:ascii="Calibri"/>
          <w:color w:val="F98B78"/>
          <w:spacing w:val="-8"/>
          <w:w w:val="125"/>
          <w:sz w:val="26"/>
        </w:rPr>
        <w:t> </w:t>
      </w:r>
      <w:r>
        <w:rPr>
          <w:rFonts w:ascii="Calibri"/>
          <w:color w:val="F98B78"/>
          <w:spacing w:val="-4"/>
          <w:w w:val="125"/>
          <w:sz w:val="26"/>
        </w:rPr>
        <w:t>Agent</w:t>
      </w:r>
    </w:p>
    <w:p>
      <w:pPr>
        <w:spacing w:before="153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0"/>
          <w:sz w:val="13"/>
        </w:rPr>
        <w:t> </w:t>
      </w:r>
      <w:r>
        <w:rPr>
          <w:sz w:val="13"/>
        </w:rPr>
        <w:t>234-5678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0"/>
          <w:sz w:val="13"/>
        </w:rPr>
        <w:t> </w:t>
      </w:r>
      <w:r>
        <w:rPr>
          <w:sz w:val="13"/>
        </w:rPr>
        <w:t>ST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shawnwhite@email.com</w:t>
        </w:r>
      </w:hyperlink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58"/>
        <w:ind w:left="0" w:firstLine="0"/>
      </w:pPr>
    </w:p>
    <w:p>
      <w:pPr>
        <w:pStyle w:val="Heading2"/>
      </w:pPr>
      <w:r>
        <w:rPr/>
        <w:t>Commercial</w:t>
      </w:r>
      <w:r>
        <w:rPr>
          <w:spacing w:val="23"/>
        </w:rPr>
        <w:t> </w:t>
      </w:r>
      <w:r>
        <w:rPr/>
        <w:t>real</w:t>
      </w:r>
      <w:r>
        <w:rPr>
          <w:spacing w:val="24"/>
        </w:rPr>
        <w:t> </w:t>
      </w:r>
      <w:r>
        <w:rPr/>
        <w:t>estate</w:t>
      </w:r>
      <w:r>
        <w:rPr>
          <w:spacing w:val="30"/>
        </w:rPr>
        <w:t> </w:t>
      </w:r>
      <w:r>
        <w:rPr/>
        <w:t>professional</w:t>
      </w:r>
      <w:r>
        <w:rPr>
          <w:spacing w:val="15"/>
        </w:rPr>
        <w:t> </w:t>
      </w:r>
      <w:r>
        <w:rPr/>
        <w:t>with</w:t>
      </w:r>
      <w:r>
        <w:rPr>
          <w:spacing w:val="31"/>
        </w:rPr>
        <w:t> </w:t>
      </w:r>
      <w:r>
        <w:rPr/>
        <w:t>market</w:t>
      </w:r>
      <w:r>
        <w:rPr>
          <w:spacing w:val="30"/>
        </w:rPr>
        <w:t> </w:t>
      </w:r>
      <w:r>
        <w:rPr/>
        <w:t>analytics</w:t>
      </w:r>
      <w:r>
        <w:rPr>
          <w:spacing w:val="31"/>
        </w:rPr>
        <w:t> </w:t>
      </w:r>
      <w:r>
        <w:rPr>
          <w:spacing w:val="-2"/>
        </w:rPr>
        <w:t>expertise</w:t>
      </w:r>
    </w:p>
    <w:p>
      <w:pPr>
        <w:pStyle w:val="BodyText"/>
        <w:spacing w:line="278" w:lineRule="auto" w:before="21"/>
        <w:ind w:left="23" w:right="9" w:firstLine="0"/>
      </w:pPr>
      <w:r>
        <w:rPr/>
        <w:t>Skilled</w:t>
      </w:r>
      <w:r>
        <w:rPr>
          <w:spacing w:val="26"/>
        </w:rPr>
        <w:t> </w:t>
      </w:r>
      <w:r>
        <w:rPr/>
        <w:t>Commercial</w:t>
      </w:r>
      <w:r>
        <w:rPr>
          <w:spacing w:val="18"/>
        </w:rPr>
        <w:t> </w:t>
      </w:r>
      <w:r>
        <w:rPr/>
        <w:t>Real</w:t>
      </w:r>
      <w:r>
        <w:rPr>
          <w:spacing w:val="18"/>
        </w:rPr>
        <w:t> </w:t>
      </w:r>
      <w:r>
        <w:rPr/>
        <w:t>Estate</w:t>
      </w:r>
      <w:r>
        <w:rPr>
          <w:spacing w:val="18"/>
        </w:rPr>
        <w:t> </w:t>
      </w:r>
      <w:r>
        <w:rPr/>
        <w:t>Agent</w:t>
      </w:r>
      <w:r>
        <w:rPr>
          <w:spacing w:val="20"/>
        </w:rPr>
        <w:t> </w:t>
      </w:r>
      <w:r>
        <w:rPr/>
        <w:t>with</w:t>
      </w:r>
      <w:r>
        <w:rPr>
          <w:spacing w:val="26"/>
        </w:rPr>
        <w:t> </w:t>
      </w:r>
      <w:r>
        <w:rPr/>
        <w:t>over</w:t>
      </w:r>
      <w:r>
        <w:rPr>
          <w:spacing w:val="20"/>
        </w:rPr>
        <w:t> </w:t>
      </w:r>
      <w:r>
        <w:rPr/>
        <w:t>six</w:t>
      </w:r>
      <w:r>
        <w:rPr>
          <w:spacing w:val="20"/>
        </w:rPr>
        <w:t> </w:t>
      </w:r>
      <w:r>
        <w:rPr/>
        <w:t>years</w:t>
      </w:r>
      <w:r>
        <w:rPr>
          <w:spacing w:val="26"/>
        </w:rPr>
        <w:t> </w:t>
      </w:r>
      <w:r>
        <w:rPr/>
        <w:t>of</w:t>
      </w:r>
      <w:r>
        <w:rPr>
          <w:spacing w:val="21"/>
        </w:rPr>
        <w:t> </w:t>
      </w:r>
      <w:r>
        <w:rPr/>
        <w:t>experience</w:t>
      </w:r>
      <w:r>
        <w:rPr>
          <w:spacing w:val="26"/>
        </w:rPr>
        <w:t> </w:t>
      </w:r>
      <w:r>
        <w:rPr/>
        <w:t>managing</w:t>
      </w:r>
      <w:r>
        <w:rPr>
          <w:spacing w:val="26"/>
        </w:rPr>
        <w:t> </w:t>
      </w:r>
      <w:r>
        <w:rPr/>
        <w:t>large</w:t>
      </w:r>
      <w:r>
        <w:rPr>
          <w:spacing w:val="26"/>
        </w:rPr>
        <w:t> </w:t>
      </w:r>
      <w:r>
        <w:rPr/>
        <w:t>office</w:t>
      </w:r>
      <w:r>
        <w:rPr>
          <w:spacing w:val="26"/>
        </w:rPr>
        <w:t> </w:t>
      </w:r>
      <w:r>
        <w:rPr/>
        <w:t>and</w:t>
      </w:r>
      <w:r>
        <w:rPr>
          <w:spacing w:val="26"/>
        </w:rPr>
        <w:t> </w:t>
      </w:r>
      <w:r>
        <w:rPr/>
        <w:t>retail</w:t>
      </w:r>
      <w:r>
        <w:rPr>
          <w:spacing w:val="18"/>
        </w:rPr>
        <w:t> </w:t>
      </w:r>
      <w:r>
        <w:rPr/>
        <w:t>space</w:t>
      </w:r>
      <w:r>
        <w:rPr>
          <w:spacing w:val="26"/>
        </w:rPr>
        <w:t> </w:t>
      </w:r>
      <w:r>
        <w:rPr/>
        <w:t>transactions</w:t>
      </w:r>
      <w:r>
        <w:rPr>
          <w:spacing w:val="26"/>
        </w:rPr>
        <w:t> </w:t>
      </w:r>
      <w:r>
        <w:rPr/>
        <w:t>in</w:t>
      </w:r>
      <w:r>
        <w:rPr>
          <w:spacing w:val="26"/>
        </w:rPr>
        <w:t> </w:t>
      </w:r>
      <w:r>
        <w:rPr/>
        <w:t>urban</w:t>
      </w:r>
      <w:r>
        <w:rPr>
          <w:spacing w:val="26"/>
        </w:rPr>
        <w:t> </w:t>
      </w:r>
      <w:r>
        <w:rPr/>
        <w:t>markets. Known</w:t>
      </w:r>
      <w:r>
        <w:rPr>
          <w:spacing w:val="35"/>
        </w:rPr>
        <w:t> </w:t>
      </w:r>
      <w:r>
        <w:rPr/>
        <w:t>for</w:t>
      </w:r>
      <w:r>
        <w:rPr>
          <w:spacing w:val="27"/>
        </w:rPr>
        <w:t> </w:t>
      </w:r>
      <w:r>
        <w:rPr/>
        <w:t>strong</w:t>
      </w:r>
      <w:r>
        <w:rPr>
          <w:spacing w:val="35"/>
        </w:rPr>
        <w:t> </w:t>
      </w:r>
      <w:r>
        <w:rPr/>
        <w:t>financial</w:t>
      </w:r>
      <w:r>
        <w:rPr>
          <w:spacing w:val="25"/>
        </w:rPr>
        <w:t> </w:t>
      </w:r>
      <w:r>
        <w:rPr/>
        <w:t>acumen</w:t>
      </w:r>
      <w:r>
        <w:rPr>
          <w:spacing w:val="35"/>
        </w:rPr>
        <w:t> </w:t>
      </w:r>
      <w:r>
        <w:rPr/>
        <w:t>and</w:t>
      </w:r>
      <w:r>
        <w:rPr>
          <w:spacing w:val="35"/>
        </w:rPr>
        <w:t> </w:t>
      </w:r>
      <w:r>
        <w:rPr/>
        <w:t>ability</w:t>
      </w:r>
      <w:r>
        <w:rPr>
          <w:spacing w:val="27"/>
        </w:rPr>
        <w:t> </w:t>
      </w:r>
      <w:r>
        <w:rPr/>
        <w:t>to</w:t>
      </w:r>
      <w:r>
        <w:rPr>
          <w:spacing w:val="35"/>
        </w:rPr>
        <w:t> </w:t>
      </w:r>
      <w:r>
        <w:rPr/>
        <w:t>evaluate</w:t>
      </w:r>
      <w:r>
        <w:rPr>
          <w:spacing w:val="35"/>
        </w:rPr>
        <w:t> </w:t>
      </w:r>
      <w:r>
        <w:rPr/>
        <w:t>property</w:t>
      </w:r>
      <w:r>
        <w:rPr>
          <w:spacing w:val="27"/>
        </w:rPr>
        <w:t> </w:t>
      </w:r>
      <w:r>
        <w:rPr/>
        <w:t>investment</w:t>
      </w:r>
      <w:r>
        <w:rPr>
          <w:spacing w:val="35"/>
        </w:rPr>
        <w:t> </w:t>
      </w:r>
      <w:r>
        <w:rPr/>
        <w:t>potential</w:t>
      </w:r>
      <w:r>
        <w:rPr>
          <w:spacing w:val="25"/>
        </w:rPr>
        <w:t> </w:t>
      </w:r>
      <w:r>
        <w:rPr/>
        <w:t>for</w:t>
      </w:r>
      <w:r>
        <w:rPr>
          <w:spacing w:val="27"/>
        </w:rPr>
        <w:t> </w:t>
      </w:r>
      <w:r>
        <w:rPr/>
        <w:t>high-profile</w:t>
      </w:r>
      <w:r>
        <w:rPr>
          <w:spacing w:val="35"/>
        </w:rPr>
        <w:t> </w:t>
      </w:r>
      <w:r>
        <w:rPr/>
        <w:t>clients.</w:t>
      </w:r>
      <w:r>
        <w:rPr>
          <w:spacing w:val="35"/>
        </w:rPr>
        <w:t> </w:t>
      </w:r>
      <w:r>
        <w:rPr/>
        <w:t>Proven</w:t>
      </w:r>
      <w:r>
        <w:rPr>
          <w:spacing w:val="35"/>
        </w:rPr>
        <w:t> </w:t>
      </w:r>
      <w:r>
        <w:rPr/>
        <w:t>success</w:t>
      </w:r>
      <w:r>
        <w:rPr>
          <w:spacing w:val="35"/>
        </w:rPr>
        <w:t> </w:t>
      </w:r>
      <w:r>
        <w:rPr/>
        <w:t>in</w:t>
      </w:r>
      <w:r>
        <w:rPr>
          <w:spacing w:val="35"/>
        </w:rPr>
        <w:t> </w:t>
      </w:r>
      <w:r>
        <w:rPr/>
        <w:t>closing long-term</w:t>
      </w:r>
      <w:r>
        <w:rPr>
          <w:spacing w:val="39"/>
        </w:rPr>
        <w:t> </w:t>
      </w:r>
      <w:r>
        <w:rPr/>
        <w:t>lease</w:t>
      </w:r>
      <w:r>
        <w:rPr>
          <w:spacing w:val="39"/>
        </w:rPr>
        <w:t> </w:t>
      </w:r>
      <w:r>
        <w:rPr/>
        <w:t>agreements,</w:t>
      </w:r>
      <w:r>
        <w:rPr>
          <w:spacing w:val="39"/>
        </w:rPr>
        <w:t> </w:t>
      </w:r>
      <w:r>
        <w:rPr/>
        <w:t>finding</w:t>
      </w:r>
      <w:r>
        <w:rPr>
          <w:spacing w:val="39"/>
        </w:rPr>
        <w:t> </w:t>
      </w:r>
      <w:r>
        <w:rPr/>
        <w:t>growth</w:t>
      </w:r>
      <w:r>
        <w:rPr>
          <w:spacing w:val="39"/>
        </w:rPr>
        <w:t> </w:t>
      </w:r>
      <w:r>
        <w:rPr/>
        <w:t>opportunities,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navigating</w:t>
      </w:r>
      <w:r>
        <w:rPr>
          <w:spacing w:val="39"/>
        </w:rPr>
        <w:t> </w:t>
      </w:r>
      <w:r>
        <w:rPr/>
        <w:t>complex</w:t>
      </w:r>
      <w:r>
        <w:rPr>
          <w:spacing w:val="39"/>
        </w:rPr>
        <w:t> </w:t>
      </w:r>
      <w:r>
        <w:rPr/>
        <w:t>property</w:t>
      </w:r>
      <w:r>
        <w:rPr>
          <w:spacing w:val="31"/>
        </w:rPr>
        <w:t> </w:t>
      </w:r>
      <w:r>
        <w:rPr/>
        <w:t>negotiations.</w:t>
      </w:r>
    </w:p>
    <w:p>
      <w:pPr>
        <w:pStyle w:val="BodyText"/>
        <w:spacing w:before="39"/>
        <w:ind w:left="0" w:firstLine="0"/>
      </w:pPr>
    </w:p>
    <w:p>
      <w:pPr>
        <w:pStyle w:val="Heading1"/>
      </w:pPr>
      <w:r>
        <w:rPr>
          <w:color w:val="F98B78"/>
          <w:w w:val="130"/>
          <w:sz w:val="28"/>
        </w:rPr>
        <w:t>K</w:t>
      </w:r>
      <w:r>
        <w:rPr>
          <w:color w:val="F98B78"/>
          <w:w w:val="130"/>
        </w:rPr>
        <w:t>ey</w:t>
      </w:r>
      <w:r>
        <w:rPr>
          <w:color w:val="F98B78"/>
          <w:spacing w:val="12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992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49" w:after="0"/>
        <w:ind w:left="654" w:right="0" w:hanging="296"/>
        <w:jc w:val="left"/>
        <w:rPr>
          <w:sz w:val="15"/>
        </w:rPr>
      </w:pPr>
      <w:r>
        <w:rPr>
          <w:w w:val="105"/>
          <w:sz w:val="15"/>
        </w:rPr>
        <w:t>B2B</w:t>
      </w:r>
      <w:r>
        <w:rPr>
          <w:spacing w:val="15"/>
          <w:w w:val="105"/>
          <w:sz w:val="15"/>
        </w:rPr>
        <w:t> </w:t>
      </w:r>
      <w:r>
        <w:rPr>
          <w:spacing w:val="-2"/>
          <w:w w:val="105"/>
          <w:sz w:val="15"/>
        </w:rPr>
        <w:t>leasing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Financial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modeling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Lease</w:t>
      </w:r>
      <w:r>
        <w:rPr>
          <w:spacing w:val="29"/>
          <w:sz w:val="15"/>
        </w:rPr>
        <w:t> </w:t>
      </w:r>
      <w:r>
        <w:rPr>
          <w:sz w:val="15"/>
        </w:rPr>
        <w:t>contract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Relationship</w:t>
      </w:r>
      <w:r>
        <w:rPr>
          <w:spacing w:val="42"/>
          <w:sz w:val="15"/>
        </w:rPr>
        <w:t> </w:t>
      </w:r>
      <w:r>
        <w:rPr>
          <w:spacing w:val="-2"/>
          <w:sz w:val="15"/>
        </w:rPr>
        <w:t>building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149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Commercial</w:t>
      </w:r>
      <w:r>
        <w:rPr>
          <w:spacing w:val="27"/>
          <w:sz w:val="15"/>
        </w:rPr>
        <w:t> </w:t>
      </w:r>
      <w:r>
        <w:rPr>
          <w:sz w:val="15"/>
        </w:rPr>
        <w:t>market</w:t>
      </w:r>
      <w:r>
        <w:rPr>
          <w:spacing w:val="37"/>
          <w:sz w:val="15"/>
        </w:rPr>
        <w:t> </w:t>
      </w:r>
      <w:r>
        <w:rPr>
          <w:spacing w:val="-2"/>
          <w:sz w:val="15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Investment</w:t>
      </w:r>
      <w:r>
        <w:rPr>
          <w:spacing w:val="35"/>
          <w:sz w:val="15"/>
        </w:rPr>
        <w:t> </w:t>
      </w:r>
      <w:r>
        <w:rPr>
          <w:sz w:val="15"/>
        </w:rPr>
        <w:t>property</w:t>
      </w:r>
      <w:r>
        <w:rPr>
          <w:spacing w:val="28"/>
          <w:sz w:val="15"/>
        </w:rPr>
        <w:t> </w:t>
      </w:r>
      <w:r>
        <w:rPr>
          <w:spacing w:val="-4"/>
          <w:sz w:val="15"/>
        </w:rPr>
        <w:t>sales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Property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valuation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Site</w:t>
      </w:r>
      <w:r>
        <w:rPr>
          <w:spacing w:val="8"/>
          <w:sz w:val="15"/>
        </w:rPr>
        <w:t> </w:t>
      </w:r>
      <w:r>
        <w:rPr>
          <w:spacing w:val="-2"/>
          <w:sz w:val="15"/>
        </w:rPr>
        <w:t>selection</w:t>
      </w:r>
    </w:p>
    <w:p>
      <w:pPr>
        <w:pStyle w:val="ListParagraph"/>
        <w:spacing w:after="0" w:line="328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992"/>
          <w:cols w:num="2" w:equalWidth="0">
            <w:col w:w="2610" w:space="794"/>
            <w:col w:w="6674"/>
          </w:cols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3724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3724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185,0,16858,390,16858,390,13185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4038599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17.9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6515099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12.99993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7315199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75.9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2114549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6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w w:val="125"/>
          <w:sz w:val="28"/>
        </w:rPr>
        <w:t>P</w:t>
      </w:r>
      <w:r>
        <w:rPr>
          <w:color w:val="F98B78"/>
          <w:w w:val="125"/>
        </w:rPr>
        <w:t>rofessional</w:t>
      </w:r>
      <w:r>
        <w:rPr>
          <w:color w:val="F98B78"/>
          <w:spacing w:val="75"/>
          <w:w w:val="150"/>
        </w:rPr>
        <w:t> </w:t>
      </w:r>
      <w:r>
        <w:rPr>
          <w:color w:val="F98B78"/>
          <w:spacing w:val="-2"/>
          <w:w w:val="130"/>
        </w:rPr>
        <w:t>Experience</w:t>
      </w:r>
    </w:p>
    <w:p>
      <w:pPr>
        <w:pStyle w:val="BodyText"/>
        <w:spacing w:line="290" w:lineRule="auto" w:before="248"/>
        <w:ind w:left="358" w:right="5015" w:firstLine="0"/>
      </w:pPr>
      <w:r>
        <w:rPr/>
        <w:t>Commercial Real Estate Agent</w:t>
      </w:r>
      <w:r>
        <w:rPr>
          <w:spacing w:val="39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/>
        <w:t>Marcus &amp; Millichap, Atlanta, GA June 2021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Closed</w:t>
      </w:r>
      <w:r>
        <w:rPr>
          <w:spacing w:val="25"/>
          <w:sz w:val="15"/>
        </w:rPr>
        <w:t> </w:t>
      </w:r>
      <w:r>
        <w:rPr>
          <w:sz w:val="15"/>
        </w:rPr>
        <w:t>over</w:t>
      </w:r>
      <w:r>
        <w:rPr>
          <w:spacing w:val="19"/>
          <w:sz w:val="15"/>
        </w:rPr>
        <w:t> </w:t>
      </w:r>
      <w:r>
        <w:rPr>
          <w:sz w:val="15"/>
        </w:rPr>
        <w:t>$30</w:t>
      </w:r>
      <w:r>
        <w:rPr>
          <w:spacing w:val="26"/>
          <w:sz w:val="15"/>
        </w:rPr>
        <w:t> </w:t>
      </w:r>
      <w:r>
        <w:rPr>
          <w:sz w:val="15"/>
        </w:rPr>
        <w:t>million</w:t>
      </w:r>
      <w:r>
        <w:rPr>
          <w:spacing w:val="26"/>
          <w:sz w:val="15"/>
        </w:rPr>
        <w:t> </w:t>
      </w:r>
      <w:r>
        <w:rPr>
          <w:sz w:val="15"/>
        </w:rPr>
        <w:t>in</w:t>
      </w:r>
      <w:r>
        <w:rPr>
          <w:spacing w:val="25"/>
          <w:sz w:val="15"/>
        </w:rPr>
        <w:t> </w:t>
      </w:r>
      <w:r>
        <w:rPr>
          <w:sz w:val="15"/>
        </w:rPr>
        <w:t>commercial</w:t>
      </w:r>
      <w:r>
        <w:rPr>
          <w:spacing w:val="18"/>
          <w:sz w:val="15"/>
        </w:rPr>
        <w:t> </w:t>
      </w:r>
      <w:r>
        <w:rPr>
          <w:sz w:val="15"/>
        </w:rPr>
        <w:t>property</w:t>
      </w:r>
      <w:r>
        <w:rPr>
          <w:spacing w:val="19"/>
          <w:sz w:val="15"/>
        </w:rPr>
        <w:t> </w:t>
      </w:r>
      <w:r>
        <w:rPr>
          <w:sz w:val="15"/>
        </w:rPr>
        <w:t>sales</w:t>
      </w:r>
      <w:r>
        <w:rPr>
          <w:spacing w:val="26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lease</w:t>
      </w:r>
      <w:r>
        <w:rPr>
          <w:spacing w:val="26"/>
          <w:sz w:val="15"/>
        </w:rPr>
        <w:t> </w:t>
      </w:r>
      <w:r>
        <w:rPr>
          <w:sz w:val="15"/>
        </w:rPr>
        <w:t>transactions</w:t>
      </w:r>
      <w:r>
        <w:rPr>
          <w:spacing w:val="26"/>
          <w:sz w:val="15"/>
        </w:rPr>
        <w:t> </w:t>
      </w:r>
      <w:r>
        <w:rPr>
          <w:sz w:val="15"/>
        </w:rPr>
        <w:t>in</w:t>
      </w:r>
      <w:r>
        <w:rPr>
          <w:spacing w:val="25"/>
          <w:sz w:val="15"/>
        </w:rPr>
        <w:t> </w:t>
      </w:r>
      <w:r>
        <w:rPr>
          <w:spacing w:val="-4"/>
          <w:sz w:val="15"/>
        </w:rPr>
        <w:t>2023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Advised</w:t>
      </w:r>
      <w:r>
        <w:rPr>
          <w:spacing w:val="21"/>
          <w:sz w:val="15"/>
        </w:rPr>
        <w:t> </w:t>
      </w:r>
      <w:r>
        <w:rPr>
          <w:sz w:val="15"/>
        </w:rPr>
        <w:t>clients</w:t>
      </w:r>
      <w:r>
        <w:rPr>
          <w:spacing w:val="22"/>
          <w:sz w:val="15"/>
        </w:rPr>
        <w:t> </w:t>
      </w:r>
      <w:r>
        <w:rPr>
          <w:sz w:val="15"/>
        </w:rPr>
        <w:t>on</w:t>
      </w:r>
      <w:r>
        <w:rPr>
          <w:spacing w:val="22"/>
          <w:sz w:val="15"/>
        </w:rPr>
        <w:t> </w:t>
      </w:r>
      <w:r>
        <w:rPr>
          <w:sz w:val="15"/>
        </w:rPr>
        <w:t>cap</w:t>
      </w:r>
      <w:r>
        <w:rPr>
          <w:spacing w:val="22"/>
          <w:sz w:val="15"/>
        </w:rPr>
        <w:t> </w:t>
      </w:r>
      <w:r>
        <w:rPr>
          <w:sz w:val="15"/>
        </w:rPr>
        <w:t>rates,</w:t>
      </w:r>
      <w:r>
        <w:rPr>
          <w:spacing w:val="22"/>
          <w:sz w:val="15"/>
        </w:rPr>
        <w:t> </w:t>
      </w:r>
      <w:r>
        <w:rPr>
          <w:sz w:val="15"/>
        </w:rPr>
        <w:t>tax</w:t>
      </w:r>
      <w:r>
        <w:rPr>
          <w:spacing w:val="22"/>
          <w:sz w:val="15"/>
        </w:rPr>
        <w:t> </w:t>
      </w:r>
      <w:r>
        <w:rPr>
          <w:sz w:val="15"/>
        </w:rPr>
        <w:t>considerations,</w:t>
      </w:r>
      <w:r>
        <w:rPr>
          <w:spacing w:val="22"/>
          <w:sz w:val="15"/>
        </w:rPr>
        <w:t> </w:t>
      </w:r>
      <w:r>
        <w:rPr>
          <w:sz w:val="15"/>
        </w:rPr>
        <w:t>and</w:t>
      </w:r>
      <w:r>
        <w:rPr>
          <w:spacing w:val="22"/>
          <w:sz w:val="15"/>
        </w:rPr>
        <w:t> </w:t>
      </w:r>
      <w:r>
        <w:rPr>
          <w:sz w:val="15"/>
        </w:rPr>
        <w:t>market</w:t>
      </w:r>
      <w:r>
        <w:rPr>
          <w:spacing w:val="22"/>
          <w:sz w:val="15"/>
        </w:rPr>
        <w:t> </w:t>
      </w:r>
      <w:r>
        <w:rPr>
          <w:sz w:val="15"/>
        </w:rPr>
        <w:t>trends</w:t>
      </w:r>
      <w:r>
        <w:rPr>
          <w:spacing w:val="21"/>
          <w:sz w:val="15"/>
        </w:rPr>
        <w:t> </w:t>
      </w:r>
      <w:r>
        <w:rPr>
          <w:sz w:val="15"/>
        </w:rPr>
        <w:t>to</w:t>
      </w:r>
      <w:r>
        <w:rPr>
          <w:spacing w:val="22"/>
          <w:sz w:val="15"/>
        </w:rPr>
        <w:t> </w:t>
      </w:r>
      <w:r>
        <w:rPr>
          <w:sz w:val="15"/>
        </w:rPr>
        <w:t>support</w:t>
      </w:r>
      <w:r>
        <w:rPr>
          <w:spacing w:val="22"/>
          <w:sz w:val="15"/>
        </w:rPr>
        <w:t> </w:t>
      </w:r>
      <w:r>
        <w:rPr>
          <w:sz w:val="15"/>
        </w:rPr>
        <w:t>sound</w:t>
      </w:r>
      <w:r>
        <w:rPr>
          <w:spacing w:val="22"/>
          <w:sz w:val="15"/>
        </w:rPr>
        <w:t> </w:t>
      </w:r>
      <w:r>
        <w:rPr>
          <w:sz w:val="15"/>
        </w:rPr>
        <w:t>investment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decisions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Led</w:t>
      </w:r>
      <w:r>
        <w:rPr>
          <w:spacing w:val="18"/>
          <w:sz w:val="15"/>
        </w:rPr>
        <w:t> </w:t>
      </w:r>
      <w:r>
        <w:rPr>
          <w:sz w:val="15"/>
        </w:rPr>
        <w:t>negotiations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3"/>
          <w:sz w:val="15"/>
        </w:rPr>
        <w:t> </w:t>
      </w:r>
      <w:r>
        <w:rPr>
          <w:sz w:val="15"/>
        </w:rPr>
        <w:t>multiple</w:t>
      </w:r>
      <w:r>
        <w:rPr>
          <w:spacing w:val="19"/>
          <w:sz w:val="15"/>
        </w:rPr>
        <w:t> </w:t>
      </w:r>
      <w:r>
        <w:rPr>
          <w:sz w:val="15"/>
        </w:rPr>
        <w:t>10-year</w:t>
      </w:r>
      <w:r>
        <w:rPr>
          <w:spacing w:val="12"/>
          <w:sz w:val="15"/>
        </w:rPr>
        <w:t> </w:t>
      </w:r>
      <w:r>
        <w:rPr>
          <w:sz w:val="15"/>
        </w:rPr>
        <w:t>lease</w:t>
      </w:r>
      <w:r>
        <w:rPr>
          <w:spacing w:val="19"/>
          <w:sz w:val="15"/>
        </w:rPr>
        <w:t> </w:t>
      </w:r>
      <w:r>
        <w:rPr>
          <w:sz w:val="15"/>
        </w:rPr>
        <w:t>contracts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3"/>
          <w:sz w:val="15"/>
        </w:rPr>
        <w:t> </w:t>
      </w:r>
      <w:r>
        <w:rPr>
          <w:sz w:val="15"/>
        </w:rPr>
        <w:t>retail</w:t>
      </w:r>
      <w:r>
        <w:rPr>
          <w:spacing w:val="11"/>
          <w:sz w:val="15"/>
        </w:rPr>
        <w:t> </w:t>
      </w:r>
      <w:r>
        <w:rPr>
          <w:sz w:val="15"/>
        </w:rPr>
        <w:t>clients,</w:t>
      </w:r>
      <w:r>
        <w:rPr>
          <w:spacing w:val="19"/>
          <w:sz w:val="15"/>
        </w:rPr>
        <w:t> </w:t>
      </w:r>
      <w:r>
        <w:rPr>
          <w:sz w:val="15"/>
        </w:rPr>
        <w:t>reducing</w:t>
      </w:r>
      <w:r>
        <w:rPr>
          <w:spacing w:val="18"/>
          <w:sz w:val="15"/>
        </w:rPr>
        <w:t> </w:t>
      </w:r>
      <w:r>
        <w:rPr>
          <w:sz w:val="15"/>
        </w:rPr>
        <w:t>turnover</w:t>
      </w:r>
      <w:r>
        <w:rPr>
          <w:spacing w:val="13"/>
          <w:sz w:val="15"/>
        </w:rPr>
        <w:t> </w:t>
      </w:r>
      <w:r>
        <w:rPr>
          <w:sz w:val="15"/>
        </w:rPr>
        <w:t>by</w:t>
      </w:r>
      <w:r>
        <w:rPr>
          <w:spacing w:val="13"/>
          <w:sz w:val="15"/>
        </w:rPr>
        <w:t> </w:t>
      </w:r>
      <w:r>
        <w:rPr>
          <w:spacing w:val="-5"/>
          <w:sz w:val="15"/>
        </w:rPr>
        <w:t>35%</w:t>
      </w:r>
    </w:p>
    <w:p>
      <w:pPr>
        <w:pStyle w:val="BodyText"/>
        <w:spacing w:line="290" w:lineRule="auto" w:before="149"/>
        <w:ind w:left="358" w:right="7150" w:firstLine="0"/>
      </w:pPr>
      <w:r>
        <w:rPr/>
        <w:t>Associate Agent </w:t>
      </w:r>
      <w:r>
        <w:rPr>
          <w:w w:val="80"/>
        </w:rPr>
        <w:t>|</w:t>
      </w:r>
      <w:r>
        <w:rPr/>
        <w:t> JLL, Atlanta, GA July 2018 </w:t>
      </w:r>
      <w:r>
        <w:rPr>
          <w:w w:val="125"/>
        </w:rPr>
        <w:t>– </w:t>
      </w:r>
      <w:r>
        <w:rPr/>
        <w:t>May 2021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Supported</w:t>
      </w:r>
      <w:r>
        <w:rPr>
          <w:spacing w:val="24"/>
          <w:sz w:val="15"/>
        </w:rPr>
        <w:t> </w:t>
      </w:r>
      <w:r>
        <w:rPr>
          <w:sz w:val="15"/>
        </w:rPr>
        <w:t>senior</w:t>
      </w:r>
      <w:r>
        <w:rPr>
          <w:spacing w:val="18"/>
          <w:sz w:val="15"/>
        </w:rPr>
        <w:t> </w:t>
      </w:r>
      <w:r>
        <w:rPr>
          <w:sz w:val="15"/>
        </w:rPr>
        <w:t>brokers</w:t>
      </w:r>
      <w:r>
        <w:rPr>
          <w:spacing w:val="25"/>
          <w:sz w:val="15"/>
        </w:rPr>
        <w:t> </w:t>
      </w:r>
      <w:r>
        <w:rPr>
          <w:sz w:val="15"/>
        </w:rPr>
        <w:t>in</w:t>
      </w:r>
      <w:r>
        <w:rPr>
          <w:spacing w:val="25"/>
          <w:sz w:val="15"/>
        </w:rPr>
        <w:t> </w:t>
      </w:r>
      <w:r>
        <w:rPr>
          <w:sz w:val="15"/>
        </w:rPr>
        <w:t>preparing</w:t>
      </w:r>
      <w:r>
        <w:rPr>
          <w:spacing w:val="24"/>
          <w:sz w:val="15"/>
        </w:rPr>
        <w:t> </w:t>
      </w:r>
      <w:r>
        <w:rPr>
          <w:sz w:val="15"/>
        </w:rPr>
        <w:t>market</w:t>
      </w:r>
      <w:r>
        <w:rPr>
          <w:spacing w:val="25"/>
          <w:sz w:val="15"/>
        </w:rPr>
        <w:t> </w:t>
      </w:r>
      <w:r>
        <w:rPr>
          <w:sz w:val="15"/>
        </w:rPr>
        <w:t>research,</w:t>
      </w:r>
      <w:r>
        <w:rPr>
          <w:spacing w:val="25"/>
          <w:sz w:val="15"/>
        </w:rPr>
        <w:t> </w:t>
      </w:r>
      <w:r>
        <w:rPr>
          <w:sz w:val="15"/>
        </w:rPr>
        <w:t>financial</w:t>
      </w:r>
      <w:r>
        <w:rPr>
          <w:spacing w:val="16"/>
          <w:sz w:val="15"/>
        </w:rPr>
        <w:t> </w:t>
      </w:r>
      <w:r>
        <w:rPr>
          <w:sz w:val="15"/>
        </w:rPr>
        <w:t>packages,</w:t>
      </w:r>
      <w:r>
        <w:rPr>
          <w:spacing w:val="25"/>
          <w:sz w:val="15"/>
        </w:rPr>
        <w:t> </w:t>
      </w:r>
      <w:r>
        <w:rPr>
          <w:sz w:val="15"/>
        </w:rPr>
        <w:t>and</w:t>
      </w:r>
      <w:r>
        <w:rPr>
          <w:spacing w:val="25"/>
          <w:sz w:val="15"/>
        </w:rPr>
        <w:t> </w:t>
      </w:r>
      <w:r>
        <w:rPr>
          <w:sz w:val="15"/>
        </w:rPr>
        <w:t>client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presentations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Managed</w:t>
      </w:r>
      <w:r>
        <w:rPr>
          <w:spacing w:val="28"/>
          <w:sz w:val="15"/>
        </w:rPr>
        <w:t> </w:t>
      </w:r>
      <w:r>
        <w:rPr>
          <w:sz w:val="15"/>
        </w:rPr>
        <w:t>tenant</w:t>
      </w:r>
      <w:r>
        <w:rPr>
          <w:spacing w:val="29"/>
          <w:sz w:val="15"/>
        </w:rPr>
        <w:t> </w:t>
      </w:r>
      <w:r>
        <w:rPr>
          <w:sz w:val="15"/>
        </w:rPr>
        <w:t>communications</w:t>
      </w:r>
      <w:r>
        <w:rPr>
          <w:spacing w:val="28"/>
          <w:sz w:val="15"/>
        </w:rPr>
        <w:t> </w:t>
      </w:r>
      <w:r>
        <w:rPr>
          <w:sz w:val="15"/>
        </w:rPr>
        <w:t>during</w:t>
      </w:r>
      <w:r>
        <w:rPr>
          <w:spacing w:val="29"/>
          <w:sz w:val="15"/>
        </w:rPr>
        <w:t> </w:t>
      </w:r>
      <w:r>
        <w:rPr>
          <w:sz w:val="15"/>
        </w:rPr>
        <w:t>the</w:t>
      </w:r>
      <w:r>
        <w:rPr>
          <w:spacing w:val="29"/>
          <w:sz w:val="15"/>
        </w:rPr>
        <w:t> </w:t>
      </w:r>
      <w:r>
        <w:rPr>
          <w:sz w:val="15"/>
        </w:rPr>
        <w:t>lease</w:t>
      </w:r>
      <w:r>
        <w:rPr>
          <w:spacing w:val="28"/>
          <w:sz w:val="15"/>
        </w:rPr>
        <w:t> </w:t>
      </w:r>
      <w:r>
        <w:rPr>
          <w:sz w:val="15"/>
        </w:rPr>
        <w:t>renewal</w:t>
      </w:r>
      <w:r>
        <w:rPr>
          <w:spacing w:val="21"/>
          <w:sz w:val="15"/>
        </w:rPr>
        <w:t> </w:t>
      </w:r>
      <w:r>
        <w:rPr>
          <w:sz w:val="15"/>
        </w:rPr>
        <w:t>process,</w:t>
      </w:r>
      <w:r>
        <w:rPr>
          <w:spacing w:val="28"/>
          <w:sz w:val="15"/>
        </w:rPr>
        <w:t> </w:t>
      </w:r>
      <w:r>
        <w:rPr>
          <w:sz w:val="15"/>
        </w:rPr>
        <w:t>contributing</w:t>
      </w:r>
      <w:r>
        <w:rPr>
          <w:spacing w:val="29"/>
          <w:sz w:val="15"/>
        </w:rPr>
        <w:t> </w:t>
      </w:r>
      <w:r>
        <w:rPr>
          <w:sz w:val="15"/>
        </w:rPr>
        <w:t>to</w:t>
      </w:r>
      <w:r>
        <w:rPr>
          <w:spacing w:val="28"/>
          <w:sz w:val="15"/>
        </w:rPr>
        <w:t> </w:t>
      </w:r>
      <w:r>
        <w:rPr>
          <w:sz w:val="15"/>
        </w:rPr>
        <w:t>a</w:t>
      </w:r>
      <w:r>
        <w:rPr>
          <w:spacing w:val="29"/>
          <w:sz w:val="15"/>
        </w:rPr>
        <w:t> </w:t>
      </w:r>
      <w:r>
        <w:rPr>
          <w:sz w:val="15"/>
        </w:rPr>
        <w:t>25%</w:t>
      </w:r>
      <w:r>
        <w:rPr>
          <w:spacing w:val="29"/>
          <w:sz w:val="15"/>
        </w:rPr>
        <w:t> </w:t>
      </w:r>
      <w:r>
        <w:rPr>
          <w:sz w:val="15"/>
        </w:rPr>
        <w:t>renewal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increase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Helped</w:t>
      </w:r>
      <w:r>
        <w:rPr>
          <w:spacing w:val="19"/>
          <w:sz w:val="15"/>
        </w:rPr>
        <w:t> </w:t>
      </w:r>
      <w:r>
        <w:rPr>
          <w:sz w:val="15"/>
        </w:rPr>
        <w:t>identify</w:t>
      </w:r>
      <w:r>
        <w:rPr>
          <w:spacing w:val="13"/>
          <w:sz w:val="15"/>
        </w:rPr>
        <w:t> </w:t>
      </w:r>
      <w:r>
        <w:rPr>
          <w:sz w:val="15"/>
        </w:rPr>
        <w:t>new</w:t>
      </w:r>
      <w:r>
        <w:rPr>
          <w:spacing w:val="14"/>
          <w:sz w:val="15"/>
        </w:rPr>
        <w:t> </w:t>
      </w:r>
      <w:r>
        <w:rPr>
          <w:sz w:val="15"/>
        </w:rPr>
        <w:t>listings</w:t>
      </w:r>
      <w:r>
        <w:rPr>
          <w:spacing w:val="19"/>
          <w:sz w:val="15"/>
        </w:rPr>
        <w:t> </w:t>
      </w:r>
      <w:r>
        <w:rPr>
          <w:sz w:val="15"/>
        </w:rPr>
        <w:t>that</w:t>
      </w:r>
      <w:r>
        <w:rPr>
          <w:spacing w:val="19"/>
          <w:sz w:val="15"/>
        </w:rPr>
        <w:t> </w:t>
      </w:r>
      <w:r>
        <w:rPr>
          <w:sz w:val="15"/>
        </w:rPr>
        <w:t>aligned</w:t>
      </w:r>
      <w:r>
        <w:rPr>
          <w:spacing w:val="14"/>
          <w:sz w:val="15"/>
        </w:rPr>
        <w:t> </w:t>
      </w:r>
      <w:r>
        <w:rPr>
          <w:sz w:val="15"/>
        </w:rPr>
        <w:t>with</w:t>
      </w:r>
      <w:r>
        <w:rPr>
          <w:spacing w:val="19"/>
          <w:sz w:val="15"/>
        </w:rPr>
        <w:t> </w:t>
      </w:r>
      <w:r>
        <w:rPr>
          <w:sz w:val="15"/>
        </w:rPr>
        <w:t>investor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portfolios</w:t>
      </w:r>
    </w:p>
    <w:p>
      <w:pPr>
        <w:pStyle w:val="Heading1"/>
        <w:spacing w:before="193"/>
      </w:pPr>
      <w:r>
        <w:rPr>
          <w:color w:val="F98B78"/>
          <w:spacing w:val="-2"/>
          <w:w w:val="130"/>
          <w:sz w:val="28"/>
        </w:rPr>
        <w:t>E</w:t>
      </w:r>
      <w:r>
        <w:rPr>
          <w:color w:val="F98B78"/>
          <w:spacing w:val="-2"/>
          <w:w w:val="130"/>
        </w:rPr>
        <w:t>ducation</w:t>
      </w:r>
    </w:p>
    <w:p>
      <w:pPr>
        <w:pStyle w:val="BodyText"/>
        <w:spacing w:before="249"/>
        <w:ind w:left="358" w:firstLine="0"/>
      </w:pPr>
      <w:r>
        <w:rPr/>
        <w:t>Bachelor</w:t>
      </w:r>
      <w:r>
        <w:rPr>
          <w:spacing w:val="5"/>
        </w:rPr>
        <w:t> </w:t>
      </w:r>
      <w:r>
        <w:rPr/>
        <w:t>of</w:t>
      </w:r>
      <w:r>
        <w:rPr>
          <w:spacing w:val="6"/>
        </w:rPr>
        <w:t> </w:t>
      </w:r>
      <w:r>
        <w:rPr/>
        <w:t>Business</w:t>
      </w:r>
      <w:r>
        <w:rPr>
          <w:spacing w:val="4"/>
        </w:rPr>
        <w:t> </w:t>
      </w:r>
      <w:r>
        <w:rPr/>
        <w:t>Administration</w:t>
      </w:r>
      <w:r>
        <w:rPr>
          <w:spacing w:val="10"/>
        </w:rPr>
        <w:t> </w:t>
      </w:r>
      <w:r>
        <w:rPr/>
        <w:t>in</w:t>
      </w:r>
      <w:r>
        <w:rPr>
          <w:spacing w:val="10"/>
        </w:rPr>
        <w:t> </w:t>
      </w:r>
      <w:r>
        <w:rPr/>
        <w:t>Real</w:t>
      </w:r>
      <w:r>
        <w:rPr>
          <w:spacing w:val="4"/>
        </w:rPr>
        <w:t> </w:t>
      </w:r>
      <w:r>
        <w:rPr/>
        <w:t>Estate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2018</w:t>
      </w:r>
      <w:r>
        <w:rPr>
          <w:spacing w:val="29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Georgia</w:t>
      </w:r>
      <w:r>
        <w:rPr>
          <w:spacing w:val="11"/>
        </w:rPr>
        <w:t> </w:t>
      </w:r>
      <w:r>
        <w:rPr/>
        <w:t>State</w:t>
      </w:r>
      <w:r>
        <w:rPr>
          <w:spacing w:val="10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Atlanta,</w:t>
      </w:r>
      <w:r>
        <w:rPr>
          <w:spacing w:val="10"/>
        </w:rPr>
        <w:t> </w:t>
      </w:r>
      <w:r>
        <w:rPr>
          <w:spacing w:val="-5"/>
        </w:rPr>
        <w:t>GA</w:t>
      </w:r>
    </w:p>
    <w:p>
      <w:pPr>
        <w:pStyle w:val="BodyText"/>
        <w:ind w:left="0" w:firstLine="0"/>
      </w:pPr>
    </w:p>
    <w:p>
      <w:pPr>
        <w:pStyle w:val="BodyText"/>
        <w:spacing w:before="146"/>
        <w:ind w:left="0" w:firstLine="0"/>
      </w:pPr>
    </w:p>
    <w:p>
      <w:pPr>
        <w:pStyle w:val="Heading1"/>
      </w:pPr>
      <w:r>
        <w:rPr>
          <w:color w:val="F98B78"/>
          <w:spacing w:val="-2"/>
          <w:w w:val="125"/>
          <w:sz w:val="28"/>
        </w:rPr>
        <w:t>C</w:t>
      </w:r>
      <w:r>
        <w:rPr>
          <w:color w:val="F98B78"/>
          <w:spacing w:val="-2"/>
          <w:w w:val="125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50" w:after="0"/>
        <w:ind w:left="654" w:right="0" w:hanging="296"/>
        <w:jc w:val="left"/>
        <w:rPr>
          <w:sz w:val="15"/>
        </w:rPr>
      </w:pPr>
      <w:r>
        <w:rPr>
          <w:sz w:val="15"/>
        </w:rPr>
        <w:t>Licensed</w:t>
      </w:r>
      <w:r>
        <w:rPr>
          <w:spacing w:val="22"/>
          <w:sz w:val="15"/>
        </w:rPr>
        <w:t> </w:t>
      </w:r>
      <w:r>
        <w:rPr>
          <w:sz w:val="15"/>
        </w:rPr>
        <w:t>Real</w:t>
      </w:r>
      <w:r>
        <w:rPr>
          <w:spacing w:val="14"/>
          <w:sz w:val="15"/>
        </w:rPr>
        <w:t> </w:t>
      </w:r>
      <w:r>
        <w:rPr>
          <w:sz w:val="15"/>
        </w:rPr>
        <w:t>Estate</w:t>
      </w:r>
      <w:r>
        <w:rPr>
          <w:spacing w:val="22"/>
          <w:sz w:val="15"/>
        </w:rPr>
        <w:t> </w:t>
      </w:r>
      <w:r>
        <w:rPr>
          <w:sz w:val="15"/>
        </w:rPr>
        <w:t>Salesperson,</w:t>
      </w:r>
      <w:r>
        <w:rPr>
          <w:spacing w:val="22"/>
          <w:sz w:val="15"/>
        </w:rPr>
        <w:t> </w:t>
      </w:r>
      <w:r>
        <w:rPr>
          <w:sz w:val="15"/>
        </w:rPr>
        <w:t>State</w:t>
      </w:r>
      <w:r>
        <w:rPr>
          <w:spacing w:val="22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Georgia</w:t>
      </w:r>
      <w:r>
        <w:rPr>
          <w:spacing w:val="22"/>
          <w:sz w:val="15"/>
        </w:rPr>
        <w:t> </w:t>
      </w:r>
      <w:r>
        <w:rPr>
          <w:w w:val="85"/>
          <w:sz w:val="15"/>
        </w:rPr>
        <w:t>|</w:t>
      </w:r>
      <w:r>
        <w:rPr>
          <w:spacing w:val="22"/>
          <w:sz w:val="15"/>
        </w:rPr>
        <w:t> </w:t>
      </w:r>
      <w:r>
        <w:rPr>
          <w:spacing w:val="-4"/>
          <w:sz w:val="15"/>
        </w:rPr>
        <w:t>2018</w:t>
      </w:r>
    </w:p>
    <w:sectPr>
      <w:type w:val="continuous"/>
      <w:pgSz w:w="11920" w:h="16860"/>
      <w:pgMar w:top="0" w:bottom="0" w:left="85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54" w:hanging="296"/>
    </w:pPr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whit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2026-02-15T13:03:46Z</dcterms:created>
  <dcterms:modified xsi:type="dcterms:W3CDTF">2026-02-15T13:03:46Z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