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94" w:lineRule="exact" w:before="98"/>
        <w:ind w:left="4382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618553"/>
          <w:w w:val="125"/>
          <w:sz w:val="74"/>
        </w:rPr>
        <w:t>David</w:t>
      </w:r>
      <w:r>
        <w:rPr>
          <w:rFonts w:ascii="Calibri"/>
          <w:b/>
          <w:color w:val="618553"/>
          <w:spacing w:val="37"/>
          <w:w w:val="125"/>
          <w:sz w:val="74"/>
        </w:rPr>
        <w:t> </w:t>
      </w:r>
      <w:r>
        <w:rPr>
          <w:rFonts w:ascii="Calibri"/>
          <w:color w:val="618553"/>
          <w:spacing w:val="-2"/>
          <w:w w:val="125"/>
          <w:sz w:val="74"/>
        </w:rPr>
        <w:t>Reynolds</w:t>
      </w:r>
    </w:p>
    <w:p>
      <w:pPr>
        <w:pStyle w:val="Heading1"/>
      </w:pPr>
      <w:r>
        <w:rPr>
          <w:color w:val="618553"/>
          <w:spacing w:val="-2"/>
          <w:w w:val="130"/>
        </w:rPr>
        <w:t>Tax</w:t>
      </w:r>
      <w:r>
        <w:rPr>
          <w:color w:val="618553"/>
          <w:spacing w:val="-12"/>
          <w:w w:val="130"/>
        </w:rPr>
        <w:t> </w:t>
      </w:r>
      <w:r>
        <w:rPr>
          <w:color w:val="618553"/>
          <w:spacing w:val="-2"/>
          <w:w w:val="130"/>
        </w:rPr>
        <w:t>Accountant</w:t>
      </w:r>
    </w:p>
    <w:p>
      <w:pPr>
        <w:pStyle w:val="BodyText"/>
        <w:spacing w:before="11"/>
        <w:rPr>
          <w:rFonts w:ascii="Calibri"/>
          <w:b/>
          <w:sz w:val="10"/>
        </w:rPr>
      </w:pPr>
    </w:p>
    <w:p>
      <w:pPr>
        <w:pStyle w:val="BodyText"/>
        <w:spacing w:after="0"/>
        <w:rPr>
          <w:rFonts w:ascii="Calibri"/>
          <w:b/>
          <w:sz w:val="10"/>
        </w:rPr>
        <w:sectPr>
          <w:type w:val="continuous"/>
          <w:pgSz w:w="11920" w:h="16860"/>
          <w:pgMar w:top="920" w:bottom="280" w:left="141" w:right="425"/>
        </w:sect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94"/>
        <w:rPr>
          <w:rFonts w:ascii="Calibri"/>
          <w:b/>
          <w:sz w:val="16"/>
        </w:rPr>
      </w:pPr>
    </w:p>
    <w:p>
      <w:pPr>
        <w:pStyle w:val="Heading2"/>
      </w:pPr>
      <w:r>
        <w:rPr>
          <w:smallCaps/>
          <w:color w:val="618553"/>
          <w:w w:val="135"/>
        </w:rPr>
        <w:t>Personal</w:t>
      </w:r>
      <w:r>
        <w:rPr>
          <w:smallCaps/>
          <w:color w:val="618553"/>
          <w:spacing w:val="11"/>
          <w:w w:val="135"/>
        </w:rPr>
        <w:t> </w:t>
      </w:r>
      <w:r>
        <w:rPr>
          <w:smallCaps/>
          <w:color w:val="618553"/>
          <w:spacing w:val="-4"/>
          <w:w w:val="135"/>
        </w:rPr>
        <w:t>Information</w:t>
      </w:r>
    </w:p>
    <w:p>
      <w:pPr>
        <w:pStyle w:val="Heading3"/>
        <w:spacing w:before="103"/>
        <w:ind w:left="70"/>
        <w:jc w:val="center"/>
      </w:pPr>
      <w:r>
        <w:rPr>
          <w:b w:val="0"/>
        </w:rPr>
        <w:br w:type="column"/>
      </w:r>
      <w:r>
        <w:rPr>
          <w:spacing w:val="-4"/>
        </w:rPr>
        <w:t>Tax accountant</w:t>
      </w:r>
      <w:r>
        <w:rPr>
          <w:spacing w:val="-2"/>
        </w:rPr>
        <w:t> </w:t>
      </w:r>
      <w:r>
        <w:rPr>
          <w:spacing w:val="-4"/>
        </w:rPr>
        <w:t>with</w:t>
      </w:r>
      <w:r>
        <w:rPr>
          <w:spacing w:val="-3"/>
        </w:rPr>
        <w:t> </w:t>
      </w:r>
      <w:r>
        <w:rPr>
          <w:spacing w:val="-4"/>
        </w:rPr>
        <w:t>expertise</w:t>
      </w:r>
      <w:r>
        <w:rPr>
          <w:spacing w:val="-3"/>
        </w:rPr>
        <w:t> </w:t>
      </w:r>
      <w:r>
        <w:rPr>
          <w:spacing w:val="-4"/>
        </w:rPr>
        <w:t>in</w:t>
      </w:r>
      <w:r>
        <w:rPr>
          <w:spacing w:val="-3"/>
        </w:rPr>
        <w:t> </w:t>
      </w:r>
      <w:r>
        <w:rPr>
          <w:spacing w:val="-4"/>
        </w:rPr>
        <w:t>corporate</w:t>
      </w:r>
      <w:r>
        <w:rPr>
          <w:spacing w:val="-3"/>
        </w:rPr>
        <w:t> </w:t>
      </w:r>
      <w:r>
        <w:rPr>
          <w:spacing w:val="-4"/>
        </w:rPr>
        <w:t>and</w:t>
      </w:r>
      <w:r>
        <w:rPr>
          <w:spacing w:val="-3"/>
        </w:rPr>
        <w:t> </w:t>
      </w:r>
      <w:r>
        <w:rPr>
          <w:spacing w:val="-4"/>
        </w:rPr>
        <w:t>individual</w:t>
      </w:r>
      <w:r>
        <w:rPr>
          <w:spacing w:val="-3"/>
        </w:rPr>
        <w:t> </w:t>
      </w:r>
      <w:r>
        <w:rPr>
          <w:spacing w:val="-4"/>
        </w:rPr>
        <w:t>tax</w:t>
      </w:r>
      <w:r>
        <w:rPr>
          <w:spacing w:val="-3"/>
        </w:rPr>
        <w:t> </w:t>
      </w:r>
      <w:r>
        <w:rPr>
          <w:spacing w:val="-4"/>
        </w:rPr>
        <w:t>compliance</w:t>
      </w:r>
    </w:p>
    <w:p>
      <w:pPr>
        <w:pStyle w:val="BodyText"/>
        <w:spacing w:line="292" w:lineRule="auto" w:before="151"/>
        <w:ind w:left="101" w:right="29"/>
        <w:jc w:val="center"/>
      </w:pPr>
      <w:r>
        <w:rPr/>
        <w:t>Tax accountant with seven years of experience preparing and reviewing corporate, partnership,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individual</w:t>
      </w:r>
      <w:r>
        <w:rPr>
          <w:spacing w:val="-12"/>
        </w:rPr>
        <w:t> </w:t>
      </w:r>
      <w:r>
        <w:rPr/>
        <w:t>tax</w:t>
      </w:r>
      <w:r>
        <w:rPr>
          <w:spacing w:val="-12"/>
        </w:rPr>
        <w:t> </w:t>
      </w:r>
      <w:r>
        <w:rPr/>
        <w:t>returns.</w:t>
      </w:r>
      <w:r>
        <w:rPr>
          <w:spacing w:val="-12"/>
        </w:rPr>
        <w:t> </w:t>
      </w:r>
      <w:r>
        <w:rPr/>
        <w:t>Skilled</w:t>
      </w:r>
      <w:r>
        <w:rPr>
          <w:spacing w:val="-12"/>
        </w:rPr>
        <w:t> </w:t>
      </w:r>
      <w:r>
        <w:rPr/>
        <w:t>in</w:t>
      </w:r>
      <w:r>
        <w:rPr>
          <w:spacing w:val="-12"/>
        </w:rPr>
        <w:t> </w:t>
      </w:r>
      <w:r>
        <w:rPr/>
        <w:t>identifying</w:t>
      </w:r>
      <w:r>
        <w:rPr>
          <w:spacing w:val="-12"/>
        </w:rPr>
        <w:t> </w:t>
      </w:r>
      <w:r>
        <w:rPr/>
        <w:t>tax-saving</w:t>
      </w:r>
      <w:r>
        <w:rPr>
          <w:spacing w:val="-12"/>
        </w:rPr>
        <w:t> </w:t>
      </w:r>
      <w:r>
        <w:rPr/>
        <w:t>opportunities, ensuring compliance with IRS regulations, and advising clients on financial planning strategies. Adept at managing audits and working with clients to resolve tax-related issues</w:t>
      </w:r>
      <w:r>
        <w:rPr>
          <w:spacing w:val="-4"/>
        </w:rPr>
        <w:t> </w:t>
      </w:r>
      <w:r>
        <w:rPr/>
        <w:t>efficiently.</w:t>
      </w:r>
    </w:p>
    <w:p>
      <w:pPr>
        <w:pStyle w:val="BodyText"/>
        <w:spacing w:after="0" w:line="292" w:lineRule="auto"/>
        <w:jc w:val="center"/>
        <w:sectPr>
          <w:type w:val="continuous"/>
          <w:pgSz w:w="11920" w:h="16860"/>
          <w:pgMar w:top="920" w:bottom="280" w:left="141" w:right="425"/>
          <w:cols w:num="2" w:equalWidth="0">
            <w:col w:w="2485" w:space="1827"/>
            <w:col w:w="7042"/>
          </w:cols>
        </w:sectPr>
      </w:pPr>
    </w:p>
    <w:p>
      <w:pPr>
        <w:pStyle w:val="BodyText"/>
        <w:spacing w:before="6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638424"/>
                            <a:ext cx="6981825" cy="410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105275">
                                <a:moveTo>
                                  <a:pt x="47625" y="4078122"/>
                                </a:moveTo>
                                <a:lnTo>
                                  <a:pt x="27165" y="4057650"/>
                                </a:lnTo>
                                <a:lnTo>
                                  <a:pt x="20472" y="4057650"/>
                                </a:lnTo>
                                <a:lnTo>
                                  <a:pt x="0" y="4078122"/>
                                </a:lnTo>
                                <a:lnTo>
                                  <a:pt x="0" y="4081691"/>
                                </a:lnTo>
                                <a:lnTo>
                                  <a:pt x="0" y="4084815"/>
                                </a:lnTo>
                                <a:lnTo>
                                  <a:pt x="20472" y="4105275"/>
                                </a:lnTo>
                                <a:lnTo>
                                  <a:pt x="27165" y="4105275"/>
                                </a:lnTo>
                                <a:lnTo>
                                  <a:pt x="47625" y="4084815"/>
                                </a:lnTo>
                                <a:lnTo>
                                  <a:pt x="47625" y="4078122"/>
                                </a:lnTo>
                                <a:close/>
                              </a:path>
                              <a:path w="6981825" h="410527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6981825" h="4105275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6981825" h="4105275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6981825" h="4105275">
                                <a:moveTo>
                                  <a:pt x="47625" y="3249447"/>
                                </a:moveTo>
                                <a:lnTo>
                                  <a:pt x="27165" y="3228975"/>
                                </a:lnTo>
                                <a:lnTo>
                                  <a:pt x="20472" y="3228975"/>
                                </a:lnTo>
                                <a:lnTo>
                                  <a:pt x="0" y="3249447"/>
                                </a:lnTo>
                                <a:lnTo>
                                  <a:pt x="0" y="3253016"/>
                                </a:lnTo>
                                <a:lnTo>
                                  <a:pt x="0" y="3256140"/>
                                </a:lnTo>
                                <a:lnTo>
                                  <a:pt x="20472" y="3276600"/>
                                </a:lnTo>
                                <a:lnTo>
                                  <a:pt x="27165" y="3276600"/>
                                </a:lnTo>
                                <a:lnTo>
                                  <a:pt x="47625" y="3256140"/>
                                </a:lnTo>
                                <a:lnTo>
                                  <a:pt x="47625" y="3249447"/>
                                </a:lnTo>
                                <a:close/>
                              </a:path>
                              <a:path w="6981825" h="410527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6981825" h="4105275">
                                <a:moveTo>
                                  <a:pt x="2867025" y="3297072"/>
                                </a:moveTo>
                                <a:lnTo>
                                  <a:pt x="2846565" y="3276600"/>
                                </a:lnTo>
                                <a:lnTo>
                                  <a:pt x="2839872" y="3276600"/>
                                </a:lnTo>
                                <a:lnTo>
                                  <a:pt x="2819400" y="3297072"/>
                                </a:lnTo>
                                <a:lnTo>
                                  <a:pt x="2819400" y="3300641"/>
                                </a:lnTo>
                                <a:lnTo>
                                  <a:pt x="2819400" y="3303765"/>
                                </a:lnTo>
                                <a:lnTo>
                                  <a:pt x="2839872" y="3324225"/>
                                </a:lnTo>
                                <a:lnTo>
                                  <a:pt x="2846565" y="3324225"/>
                                </a:lnTo>
                                <a:lnTo>
                                  <a:pt x="2867025" y="3303765"/>
                                </a:lnTo>
                                <a:lnTo>
                                  <a:pt x="2867025" y="3297072"/>
                                </a:lnTo>
                                <a:close/>
                              </a:path>
                              <a:path w="6981825" h="4105275">
                                <a:moveTo>
                                  <a:pt x="2867025" y="2935122"/>
                                </a:moveTo>
                                <a:lnTo>
                                  <a:pt x="2846565" y="2914650"/>
                                </a:lnTo>
                                <a:lnTo>
                                  <a:pt x="2839872" y="2914650"/>
                                </a:lnTo>
                                <a:lnTo>
                                  <a:pt x="2819400" y="2935122"/>
                                </a:lnTo>
                                <a:lnTo>
                                  <a:pt x="2819400" y="2938691"/>
                                </a:lnTo>
                                <a:lnTo>
                                  <a:pt x="2819400" y="2941815"/>
                                </a:lnTo>
                                <a:lnTo>
                                  <a:pt x="2839872" y="2962275"/>
                                </a:lnTo>
                                <a:lnTo>
                                  <a:pt x="2846565" y="2962275"/>
                                </a:lnTo>
                                <a:lnTo>
                                  <a:pt x="2867025" y="2941815"/>
                                </a:lnTo>
                                <a:lnTo>
                                  <a:pt x="2867025" y="2935122"/>
                                </a:lnTo>
                                <a:close/>
                              </a:path>
                              <a:path w="6981825" h="4105275">
                                <a:moveTo>
                                  <a:pt x="2867025" y="2582697"/>
                                </a:moveTo>
                                <a:lnTo>
                                  <a:pt x="2846565" y="2562225"/>
                                </a:lnTo>
                                <a:lnTo>
                                  <a:pt x="2839872" y="2562225"/>
                                </a:lnTo>
                                <a:lnTo>
                                  <a:pt x="2819400" y="2582697"/>
                                </a:lnTo>
                                <a:lnTo>
                                  <a:pt x="2819400" y="2586266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39872" y="2609850"/>
                                </a:lnTo>
                                <a:lnTo>
                                  <a:pt x="2846565" y="2609850"/>
                                </a:lnTo>
                                <a:lnTo>
                                  <a:pt x="2867025" y="2589390"/>
                                </a:lnTo>
                                <a:lnTo>
                                  <a:pt x="2867025" y="2582697"/>
                                </a:lnTo>
                                <a:close/>
                              </a:path>
                              <a:path w="6981825" h="4105275">
                                <a:moveTo>
                                  <a:pt x="2867025" y="1725447"/>
                                </a:moveTo>
                                <a:lnTo>
                                  <a:pt x="2846565" y="1704975"/>
                                </a:lnTo>
                                <a:lnTo>
                                  <a:pt x="2839872" y="1704975"/>
                                </a:lnTo>
                                <a:lnTo>
                                  <a:pt x="2819400" y="1725447"/>
                                </a:lnTo>
                                <a:lnTo>
                                  <a:pt x="2819400" y="1729016"/>
                                </a:lnTo>
                                <a:lnTo>
                                  <a:pt x="2819400" y="1732140"/>
                                </a:lnTo>
                                <a:lnTo>
                                  <a:pt x="2839872" y="1752600"/>
                                </a:lnTo>
                                <a:lnTo>
                                  <a:pt x="2846565" y="1752600"/>
                                </a:lnTo>
                                <a:lnTo>
                                  <a:pt x="2867025" y="1732140"/>
                                </a:lnTo>
                                <a:lnTo>
                                  <a:pt x="2867025" y="1725447"/>
                                </a:lnTo>
                                <a:close/>
                              </a:path>
                              <a:path w="6981825" h="4105275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105275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41052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05124" y="66389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5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779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61855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6;top:5535;width:315;height:317" type="#_x0000_t75" id="docshape8" stroked="false">
                  <v:imagedata r:id="rId9" o:title=""/>
                </v:shape>
                <v:shape style="position:absolute;left:524;top:4155;width:10995;height:6465" id="docshape9" coordorigin="525,4155" coordsize="10995,6465" path="m600,10577l599,10572,595,10563,593,10559,586,10552,582,10550,573,10546,568,10545,557,10545,552,10546,543,10550,539,10552,532,10559,530,10563,526,10572,525,10577,525,10583,525,10588,526,10593,530,10602,532,10606,539,10613,543,10615,552,10619,557,10620,568,10620,573,10619,582,10615,586,10613,593,10606,595,10602,599,10593,600,10588,600,10577xm600,10247l599,10242,595,10233,593,10229,586,10222,582,10220,573,10216,568,10215,557,10215,552,10216,543,10220,539,10222,532,10229,530,10233,526,10242,525,10247,525,10253,525,10258,526,10263,530,10272,532,10276,539,10283,543,10285,552,10289,557,10290,568,10290,573,10289,582,10285,586,10283,593,10276,595,10272,599,10263,600,10258,600,10247xm600,9932l599,9927,595,9918,593,9914,586,9907,582,9905,573,9901,568,9900,557,9900,552,9901,543,9905,539,9907,532,9914,530,9918,526,9927,525,9932,525,9938,525,9943,526,9948,530,9957,532,9961,539,9968,543,9970,552,9974,557,9975,568,9975,573,9974,582,9970,586,9968,593,9961,595,9957,599,9948,600,9943,600,9932xm600,9602l599,9597,595,9588,593,9584,586,9577,582,9575,573,9571,568,9570,557,9570,552,9571,543,9575,539,9577,532,9584,530,9588,526,9597,525,9602,525,9608,525,9613,526,9618,530,9627,532,9631,539,9638,543,9640,552,9644,557,9645,568,9645,573,9644,582,9640,586,9638,593,9631,595,9627,599,9618,600,9613,600,9602xm600,9272l599,9267,595,9258,593,9254,586,9247,582,9245,573,9241,568,9240,557,9240,552,9241,543,9245,539,9247,532,9254,530,9258,526,9267,525,9272,525,9278,525,9283,526,9288,530,9297,532,9301,539,9308,543,9310,552,9314,557,9315,568,9315,573,9314,582,9310,586,9308,593,9301,595,9297,599,9288,600,9283,600,9272xm600,8717l599,8712,595,8703,593,8699,586,8692,582,8690,573,8686,568,8685,557,8685,552,8686,543,8690,539,8692,532,8699,530,8703,526,8712,525,8717,525,8723,525,8728,526,8733,530,8742,532,8746,539,8753,543,8755,552,8759,557,8760,568,8760,573,8759,582,8755,586,8753,593,8746,595,8742,599,8733,600,8728,600,8717xm5040,9347l5039,9342,5035,9333,5033,9329,5026,9322,5022,9320,5013,9316,5008,9315,4997,9315,4992,9316,4983,9320,4979,9322,4972,9329,4970,9333,4966,9342,4965,9347,4965,9353,4965,9358,4966,9363,4970,9372,4972,9376,4979,9383,4983,9385,4992,9389,4997,9390,5008,9390,5013,9389,5022,9385,5026,9383,5033,9376,5035,9372,5039,9363,5040,9358,5040,9347xm5040,8777l5039,8772,5035,8763,5033,8759,5026,8752,5022,8750,5013,8746,5008,8745,4997,8745,4992,8746,4983,8750,4979,8752,4972,8759,4970,8763,4966,8772,4965,8777,4965,8783,4965,8788,4966,8793,4970,8802,4972,8806,4979,8813,4983,8815,4992,8819,4997,8820,5008,8820,5013,8819,5022,8815,5026,8813,5033,8806,5035,8802,5039,8793,5040,8788,5040,8777xm5040,8222l5039,8217,5035,8208,5033,8204,5026,8197,5022,8195,5013,8191,5008,8190,4997,8190,4992,8191,4983,8195,4979,8197,4972,8204,4970,8208,4966,8217,4965,8222,4965,8228,4965,8233,4966,8238,4970,8247,4972,8251,4979,8258,4983,8260,4992,8264,4997,8265,5008,8265,5013,8264,5022,8260,5026,8258,5033,8251,5035,8247,5039,8238,5040,8233,5040,8222xm5040,6872l5039,6867,5035,6858,5033,6854,5026,6847,5022,6845,5013,6841,5008,6840,4997,6840,4992,6841,4983,6845,4979,6847,4972,6854,4970,6858,4966,6867,4965,6872,4965,6878,4965,6883,4966,6888,4970,6897,4972,6901,4979,6908,4983,6910,4992,6914,4997,6915,5008,6915,5013,6914,5022,6910,5026,6908,5033,6901,5035,6897,5039,6888,5040,6883,5040,6872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m5040,5762l5039,5757,5035,5748,5033,5744,5026,5737,5022,5735,5013,5731,5008,5730,4997,5730,4992,5731,4983,5735,4979,5737,4972,5744,4970,5748,4966,5757,4965,5762,4965,5768,4965,5773,4966,5778,4970,5787,4972,5791,4979,5798,4983,5800,4992,5804,4997,5805,5008,5805,5013,5804,5022,5800,5026,5798,5033,5791,5035,5787,5039,5778,5040,5773,5040,5762xm11520,4155l4095,4155,4095,4170,11520,4170,11520,4155xe" filled="true" fillcolor="#618553" stroked="false">
                  <v:path arrowok="t"/>
                  <v:fill type="solid"/>
                </v:shape>
                <v:shape style="position:absolute;left:4575;top:10455;width:75;height:75" id="docshape10" coordorigin="4575,10455" coordsize="75,75" path="m4618,10530l4607,10530,4602,10529,4575,10498,4575,10493,4575,10487,4607,10455,4618,10455,4650,10487,4650,10498,4623,10529,4618,1053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4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david.reynolds@email.com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Dallas,</w:t>
      </w:r>
      <w:r>
        <w:rPr>
          <w:color w:val="1F1F1F"/>
          <w:spacing w:val="-8"/>
          <w:sz w:val="20"/>
        </w:rPr>
        <w:t> </w:t>
      </w:r>
      <w:r>
        <w:rPr>
          <w:color w:val="1F1F1F"/>
          <w:sz w:val="20"/>
        </w:rPr>
        <w:t>TX</w:t>
      </w:r>
    </w:p>
    <w:p>
      <w:pPr>
        <w:pStyle w:val="BodyText"/>
        <w:spacing w:before="187"/>
        <w:rPr>
          <w:sz w:val="20"/>
        </w:rPr>
      </w:pPr>
    </w:p>
    <w:p>
      <w:pPr>
        <w:pStyle w:val="Heading2"/>
      </w:pPr>
      <w:r>
        <w:rPr>
          <w:smallCaps/>
          <w:color w:val="618553"/>
          <w:spacing w:val="-2"/>
          <w:w w:val="135"/>
        </w:rPr>
        <w:t>Education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380" w:right="90"/>
      </w:pPr>
      <w:r>
        <w:rPr/>
        <w:t>Bachelor of Science in Accounting University</w:t>
      </w:r>
      <w:r>
        <w:rPr>
          <w:spacing w:val="-10"/>
        </w:rPr>
        <w:t> </w:t>
      </w:r>
      <w:r>
        <w:rPr/>
        <w:t>of</w:t>
      </w:r>
      <w:r>
        <w:rPr>
          <w:spacing w:val="-13"/>
        </w:rPr>
        <w:t> </w:t>
      </w:r>
      <w:r>
        <w:rPr/>
        <w:t>Texas</w:t>
      </w:r>
      <w:r>
        <w:rPr>
          <w:spacing w:val="-10"/>
        </w:rPr>
        <w:t> </w:t>
      </w:r>
      <w:r>
        <w:rPr/>
        <w:t>at</w:t>
      </w:r>
      <w:r>
        <w:rPr>
          <w:spacing w:val="-10"/>
        </w:rPr>
        <w:t> </w:t>
      </w:r>
      <w:r>
        <w:rPr/>
        <w:t>Austin,</w:t>
      </w:r>
      <w:r>
        <w:rPr>
          <w:spacing w:val="-10"/>
        </w:rPr>
        <w:t> </w:t>
      </w:r>
      <w:r>
        <w:rPr/>
        <w:t>Austin, TX </w:t>
      </w:r>
      <w:r>
        <w:rPr>
          <w:w w:val="90"/>
        </w:rPr>
        <w:t>| </w:t>
      </w:r>
      <w:r>
        <w:rPr/>
        <w:t>2017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Heading2"/>
      </w:pPr>
      <w:r>
        <w:rPr>
          <w:smallCaps/>
          <w:color w:val="618553"/>
          <w:w w:val="140"/>
        </w:rPr>
        <w:t>Key</w:t>
      </w:r>
      <w:r>
        <w:rPr>
          <w:smallCaps/>
          <w:color w:val="618553"/>
          <w:spacing w:val="-1"/>
          <w:w w:val="140"/>
        </w:rPr>
        <w:t> </w:t>
      </w:r>
      <w:r>
        <w:rPr>
          <w:smallCaps/>
          <w:color w:val="618553"/>
          <w:spacing w:val="-2"/>
          <w:w w:val="140"/>
        </w:rPr>
        <w:t>Skills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spacing w:line="259" w:lineRule="auto"/>
        <w:ind w:left="678"/>
      </w:pPr>
      <w:r>
        <w:rPr/>
        <w:t>Corporate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individual</w:t>
      </w:r>
      <w:r>
        <w:rPr>
          <w:spacing w:val="-12"/>
        </w:rPr>
        <w:t> </w:t>
      </w:r>
      <w:r>
        <w:rPr/>
        <w:t>tax </w:t>
      </w:r>
      <w:r>
        <w:rPr>
          <w:spacing w:val="-2"/>
        </w:rPr>
        <w:t>preparation</w:t>
      </w:r>
    </w:p>
    <w:p>
      <w:pPr>
        <w:pStyle w:val="BodyText"/>
        <w:spacing w:line="372" w:lineRule="auto" w:before="104"/>
        <w:ind w:left="678"/>
      </w:pPr>
      <w:r>
        <w:rPr/>
        <w:t>IRS compliance and audit support Tax planning and financial advising General ledger and reconciliations Payroll tax processing</w:t>
      </w:r>
    </w:p>
    <w:p>
      <w:pPr>
        <w:pStyle w:val="BodyText"/>
        <w:spacing w:before="9"/>
        <w:ind w:left="678"/>
      </w:pPr>
      <w:r>
        <w:rPr/>
        <w:t>Financial</w:t>
      </w:r>
      <w:r>
        <w:rPr>
          <w:spacing w:val="-4"/>
        </w:rPr>
        <w:t> </w:t>
      </w:r>
      <w:r>
        <w:rPr/>
        <w:t>statement</w:t>
      </w:r>
      <w:r>
        <w:rPr>
          <w:spacing w:val="-3"/>
        </w:rPr>
        <w:t> </w:t>
      </w:r>
      <w:r>
        <w:rPr>
          <w:spacing w:val="-2"/>
        </w:rPr>
        <w:t>analysis</w:t>
      </w:r>
    </w:p>
    <w:p>
      <w:pPr>
        <w:pStyle w:val="Heading2"/>
        <w:spacing w:before="116"/>
      </w:pPr>
      <w:r>
        <w:rPr>
          <w:b w:val="0"/>
        </w:rPr>
        <w:br w:type="column"/>
      </w:r>
      <w:r>
        <w:rPr>
          <w:smallCaps/>
          <w:color w:val="618553"/>
          <w:w w:val="135"/>
        </w:rPr>
        <w:t>Professional</w:t>
      </w:r>
      <w:r>
        <w:rPr>
          <w:smallCaps/>
          <w:color w:val="618553"/>
          <w:spacing w:val="10"/>
          <w:w w:val="135"/>
        </w:rPr>
        <w:t> </w:t>
      </w:r>
      <w:r>
        <w:rPr>
          <w:smallCaps/>
          <w:color w:val="618553"/>
          <w:spacing w:val="-2"/>
          <w:w w:val="135"/>
        </w:rPr>
        <w:t>Experience</w:t>
      </w:r>
    </w:p>
    <w:p>
      <w:pPr>
        <w:pStyle w:val="BodyText"/>
        <w:spacing w:before="17"/>
        <w:rPr>
          <w:rFonts w:ascii="Calibri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95"/>
          <w:sz w:val="18"/>
        </w:rPr>
        <w:t>Tax</w:t>
      </w:r>
      <w:r>
        <w:rPr>
          <w:b/>
          <w:spacing w:val="-3"/>
          <w:sz w:val="18"/>
        </w:rPr>
        <w:t> </w:t>
      </w:r>
      <w:r>
        <w:rPr>
          <w:b/>
          <w:w w:val="95"/>
          <w:sz w:val="18"/>
        </w:rPr>
        <w:t>Accountant</w:t>
      </w:r>
      <w:r>
        <w:rPr>
          <w:b/>
          <w:spacing w:val="-1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1"/>
          <w:sz w:val="18"/>
        </w:rPr>
        <w:t> </w:t>
      </w:r>
      <w:r>
        <w:rPr>
          <w:b/>
          <w:w w:val="95"/>
          <w:sz w:val="18"/>
        </w:rPr>
        <w:t>July</w:t>
      </w:r>
      <w:r>
        <w:rPr>
          <w:b/>
          <w:spacing w:val="-2"/>
          <w:sz w:val="18"/>
        </w:rPr>
        <w:t> </w:t>
      </w:r>
      <w:r>
        <w:rPr>
          <w:b/>
          <w:w w:val="95"/>
          <w:sz w:val="18"/>
        </w:rPr>
        <w:t>2019</w:t>
      </w:r>
      <w:r>
        <w:rPr>
          <w:b/>
          <w:spacing w:val="-3"/>
          <w:sz w:val="18"/>
        </w:rPr>
        <w:t> </w:t>
      </w:r>
      <w:r>
        <w:rPr>
          <w:b/>
          <w:w w:val="95"/>
          <w:sz w:val="18"/>
        </w:rPr>
        <w:t>-</w:t>
      </w:r>
      <w:r>
        <w:rPr>
          <w:b/>
          <w:spacing w:val="-1"/>
          <w:sz w:val="18"/>
        </w:rPr>
        <w:t> </w:t>
      </w:r>
      <w:r>
        <w:rPr>
          <w:b/>
          <w:spacing w:val="-2"/>
          <w:w w:val="95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Carter</w:t>
      </w:r>
      <w:r>
        <w:rPr>
          <w:spacing w:val="5"/>
        </w:rPr>
        <w:t> </w:t>
      </w:r>
      <w:r>
        <w:rPr/>
        <w:t>&amp;</w:t>
      </w:r>
      <w:r>
        <w:rPr>
          <w:spacing w:val="6"/>
        </w:rPr>
        <w:t> </w:t>
      </w:r>
      <w:r>
        <w:rPr/>
        <w:t>Associates</w:t>
      </w:r>
      <w:r>
        <w:rPr>
          <w:spacing w:val="6"/>
        </w:rPr>
        <w:t> </w:t>
      </w:r>
      <w:r>
        <w:rPr/>
        <w:t>CPAs,</w:t>
      </w:r>
      <w:r>
        <w:rPr>
          <w:spacing w:val="5"/>
        </w:rPr>
        <w:t> </w:t>
      </w:r>
      <w:r>
        <w:rPr/>
        <w:t>Dallas,</w:t>
      </w:r>
      <w:r>
        <w:rPr>
          <w:spacing w:val="2"/>
        </w:rPr>
        <w:t> </w:t>
      </w:r>
      <w:r>
        <w:rPr>
          <w:spacing w:val="-5"/>
        </w:rPr>
        <w:t>TX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422"/>
      </w:pPr>
      <w:r>
        <w:rPr/>
        <w:t>Prepare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review</w:t>
      </w:r>
      <w:r>
        <w:rPr>
          <w:spacing w:val="-13"/>
        </w:rPr>
        <w:t> </w:t>
      </w:r>
      <w:r>
        <w:rPr/>
        <w:t>corporate,</w:t>
      </w:r>
      <w:r>
        <w:rPr>
          <w:spacing w:val="-14"/>
        </w:rPr>
        <w:t> </w:t>
      </w:r>
      <w:r>
        <w:rPr/>
        <w:t>partnership,</w:t>
      </w:r>
      <w:r>
        <w:rPr>
          <w:spacing w:val="-13"/>
        </w:rPr>
        <w:t> </w:t>
      </w:r>
      <w:r>
        <w:rPr/>
        <w:t>and</w:t>
      </w:r>
      <w:r>
        <w:rPr>
          <w:spacing w:val="-14"/>
        </w:rPr>
        <w:t> </w:t>
      </w:r>
      <w:r>
        <w:rPr/>
        <w:t>individual</w:t>
      </w:r>
      <w:r>
        <w:rPr>
          <w:spacing w:val="-13"/>
        </w:rPr>
        <w:t> </w:t>
      </w:r>
      <w:r>
        <w:rPr/>
        <w:t>tax</w:t>
      </w:r>
      <w:r>
        <w:rPr>
          <w:spacing w:val="-14"/>
        </w:rPr>
        <w:t> </w:t>
      </w:r>
      <w:r>
        <w:rPr/>
        <w:t>returns, reducing filing errors by 30% through enhanced accuracy checks</w:t>
      </w:r>
    </w:p>
    <w:p>
      <w:pPr>
        <w:pStyle w:val="BodyText"/>
        <w:spacing w:line="276" w:lineRule="auto" w:before="103"/>
        <w:ind w:left="1050" w:right="422"/>
      </w:pPr>
      <w:r>
        <w:rPr/>
        <w:t>Advise clients on tax-saving strategies, identifying deductions and credits that resulted in $250,000 in total savings last year</w:t>
      </w:r>
    </w:p>
    <w:p>
      <w:pPr>
        <w:pStyle w:val="BodyText"/>
        <w:spacing w:line="276" w:lineRule="auto" w:before="75"/>
        <w:ind w:left="1050" w:right="422"/>
      </w:pPr>
      <w:r>
        <w:rPr/>
        <w:t>Represent clients in IRS audits, compiling documentation and negotiating settlements to resolve disputes efficiently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Tax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Associate</w:t>
      </w:r>
      <w:r>
        <w:rPr>
          <w:b/>
          <w:spacing w:val="-1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4"/>
          <w:w w:val="85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2017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13"/>
          <w:sz w:val="18"/>
        </w:rPr>
        <w:t>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31"/>
        <w:ind w:left="362"/>
      </w:pPr>
      <w:r>
        <w:rPr/>
        <w:t>Williams</w:t>
      </w:r>
      <w:r>
        <w:rPr>
          <w:spacing w:val="-8"/>
        </w:rPr>
        <w:t> </w:t>
      </w:r>
      <w:r>
        <w:rPr/>
        <w:t>&amp;</w:t>
      </w:r>
      <w:r>
        <w:rPr>
          <w:spacing w:val="-7"/>
        </w:rPr>
        <w:t> </w:t>
      </w:r>
      <w:r>
        <w:rPr/>
        <w:t>Co.</w:t>
      </w:r>
      <w:r>
        <w:rPr>
          <w:spacing w:val="-7"/>
        </w:rPr>
        <w:t> </w:t>
      </w:r>
      <w:r>
        <w:rPr/>
        <w:t>Financial</w:t>
      </w:r>
      <w:r>
        <w:rPr>
          <w:spacing w:val="-8"/>
        </w:rPr>
        <w:t> </w:t>
      </w:r>
      <w:r>
        <w:rPr/>
        <w:t>Services,</w:t>
      </w:r>
      <w:r>
        <w:rPr>
          <w:spacing w:val="-7"/>
        </w:rPr>
        <w:t> </w:t>
      </w:r>
      <w:r>
        <w:rPr/>
        <w:t>Dallas,</w:t>
      </w:r>
      <w:r>
        <w:rPr>
          <w:spacing w:val="-10"/>
        </w:rPr>
        <w:t> </w:t>
      </w:r>
      <w:r>
        <w:rPr>
          <w:spacing w:val="-5"/>
        </w:rPr>
        <w:t>TX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422"/>
      </w:pPr>
      <w:r>
        <w:rPr/>
        <w:t>Conducted tax research to ensure compliance with federal and state regulations, improving accuracy in tax filings for 50+ clients</w:t>
      </w:r>
    </w:p>
    <w:p>
      <w:pPr>
        <w:pStyle w:val="BodyText"/>
        <w:spacing w:line="276" w:lineRule="auto" w:before="74"/>
        <w:ind w:left="1050" w:right="422"/>
      </w:pPr>
      <w:r>
        <w:rPr/>
        <w:t>Assisted senior accountants in preparing complex tax returns and financial reports for high-net-worth individuals and businesses</w:t>
      </w:r>
    </w:p>
    <w:p>
      <w:pPr>
        <w:pStyle w:val="BodyText"/>
        <w:spacing w:line="259" w:lineRule="auto" w:before="90"/>
        <w:ind w:left="1050" w:right="422"/>
      </w:pPr>
      <w:r>
        <w:rPr/>
        <w:t>Managed payroll tax calculations and filings, ensuring timely submissions and avoiding penalties</w:t>
      </w:r>
    </w:p>
    <w:p>
      <w:pPr>
        <w:pStyle w:val="BodyText"/>
        <w:spacing w:before="23"/>
      </w:pPr>
    </w:p>
    <w:p>
      <w:pPr>
        <w:pStyle w:val="Heading2"/>
      </w:pPr>
      <w:r>
        <w:rPr>
          <w:smallCaps/>
          <w:color w:val="618553"/>
          <w:spacing w:val="-2"/>
          <w:w w:val="135"/>
        </w:rPr>
        <w:t>Certifications</w:t>
      </w:r>
    </w:p>
    <w:p>
      <w:pPr>
        <w:pStyle w:val="BodyText"/>
        <w:spacing w:before="17"/>
        <w:rPr>
          <w:rFonts w:ascii="Calibri"/>
          <w:b/>
          <w:sz w:val="16"/>
        </w:rPr>
      </w:pPr>
    </w:p>
    <w:p>
      <w:pPr>
        <w:pStyle w:val="BodyText"/>
        <w:ind w:left="659"/>
      </w:pPr>
      <w:r>
        <w:rPr/>
        <w:t>Certified</w:t>
      </w:r>
      <w:r>
        <w:rPr>
          <w:spacing w:val="-2"/>
        </w:rPr>
        <w:t> </w:t>
      </w:r>
      <w:r>
        <w:rPr/>
        <w:t>Public</w:t>
      </w:r>
      <w:r>
        <w:rPr>
          <w:spacing w:val="-1"/>
        </w:rPr>
        <w:t> </w:t>
      </w:r>
      <w:r>
        <w:rPr/>
        <w:t>Accountant</w:t>
      </w:r>
      <w:r>
        <w:rPr>
          <w:spacing w:val="-1"/>
        </w:rPr>
        <w:t> </w:t>
      </w:r>
      <w:r>
        <w:rPr/>
        <w:t>(CPA),</w:t>
      </w:r>
      <w:r>
        <w:rPr>
          <w:spacing w:val="-5"/>
        </w:rPr>
        <w:t> </w:t>
      </w:r>
      <w:r>
        <w:rPr/>
        <w:t>Texas</w:t>
      </w:r>
      <w:r>
        <w:rPr>
          <w:spacing w:val="-1"/>
        </w:rPr>
        <w:t> </w:t>
      </w:r>
      <w:r>
        <w:rPr/>
        <w:t>State</w:t>
      </w:r>
      <w:r>
        <w:rPr>
          <w:spacing w:val="-1"/>
        </w:rPr>
        <w:t> </w:t>
      </w:r>
      <w:r>
        <w:rPr/>
        <w:t>Board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Public</w:t>
      </w:r>
      <w:r>
        <w:rPr>
          <w:spacing w:val="-1"/>
        </w:rPr>
        <w:t> </w:t>
      </w:r>
      <w:r>
        <w:rPr>
          <w:spacing w:val="-2"/>
        </w:rPr>
        <w:t>Accountancy</w:t>
      </w:r>
    </w:p>
    <w:p>
      <w:pPr>
        <w:pStyle w:val="BodyText"/>
        <w:spacing w:before="31"/>
        <w:ind w:left="659"/>
      </w:pPr>
      <w:r>
        <w:rPr>
          <w:w w:val="50"/>
        </w:rPr>
        <w:t>|</w:t>
      </w:r>
      <w:r>
        <w:rPr>
          <w:spacing w:val="-11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20" w:bottom="280" w:left="141" w:right="425"/>
      <w:cols w:num="2" w:equalWidth="0">
        <w:col w:w="3599" w:space="474"/>
        <w:col w:w="72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9" w:lineRule="exact"/>
      <w:ind w:left="4382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avid.reynold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2026-02-20T12:13:13Z</dcterms:created>
  <dcterms:modified xsi:type="dcterms:W3CDTF">2026-02-20T12:13:13Z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