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23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384D6A"/>
          <w:spacing w:val="9"/>
          <w:w w:val="130"/>
          <w:sz w:val="63"/>
        </w:rPr>
        <w:t>Sam</w:t>
      </w:r>
      <w:r>
        <w:rPr>
          <w:rFonts w:ascii="Calibri"/>
          <w:b/>
          <w:color w:val="384D6A"/>
          <w:spacing w:val="18"/>
          <w:w w:val="130"/>
          <w:sz w:val="63"/>
        </w:rPr>
        <w:t> </w:t>
      </w:r>
      <w:r>
        <w:rPr>
          <w:rFonts w:ascii="Calibri"/>
          <w:color w:val="384D6A"/>
          <w:spacing w:val="-2"/>
          <w:w w:val="130"/>
          <w:sz w:val="63"/>
        </w:rPr>
        <w:t>Wright</w:t>
      </w:r>
    </w:p>
    <w:p>
      <w:pPr>
        <w:pStyle w:val="Heading1"/>
      </w:pPr>
      <w:r>
        <w:rPr>
          <w:color w:val="384D6A"/>
          <w:w w:val="125"/>
        </w:rPr>
        <w:t>Entrepreneurial</w:t>
      </w:r>
      <w:r>
        <w:rPr>
          <w:color w:val="384D6A"/>
          <w:spacing w:val="14"/>
          <w:w w:val="125"/>
        </w:rPr>
        <w:t> </w:t>
      </w:r>
      <w:r>
        <w:rPr>
          <w:color w:val="384D6A"/>
          <w:w w:val="125"/>
        </w:rPr>
        <w:t>Business</w:t>
      </w:r>
      <w:r>
        <w:rPr>
          <w:color w:val="384D6A"/>
          <w:spacing w:val="15"/>
          <w:w w:val="125"/>
        </w:rPr>
        <w:t> </w:t>
      </w:r>
      <w:r>
        <w:rPr>
          <w:color w:val="384D6A"/>
          <w:spacing w:val="-2"/>
          <w:w w:val="125"/>
        </w:rPr>
        <w:t>Consultant</w:t>
      </w:r>
    </w:p>
    <w:p>
      <w:pPr>
        <w:spacing w:before="175"/>
        <w:ind w:left="154" w:right="0" w:firstLine="0"/>
        <w:jc w:val="left"/>
        <w:rPr>
          <w:sz w:val="13"/>
        </w:rPr>
      </w:pPr>
      <w:r>
        <w:rPr>
          <w:sz w:val="13"/>
        </w:rPr>
        <w:t>(000)</w:t>
      </w:r>
      <w:r>
        <w:rPr>
          <w:spacing w:val="14"/>
          <w:sz w:val="13"/>
        </w:rPr>
        <w:t> </w:t>
      </w:r>
      <w:r>
        <w:rPr>
          <w:sz w:val="13"/>
        </w:rPr>
        <w:t>000-0000</w:t>
      </w:r>
      <w:r>
        <w:rPr>
          <w:spacing w:val="39"/>
          <w:sz w:val="13"/>
        </w:rPr>
        <w:t> </w:t>
      </w:r>
      <w:r>
        <w:rPr>
          <w:sz w:val="9"/>
        </w:rPr>
        <w:t>•</w:t>
      </w:r>
      <w:r>
        <w:rPr>
          <w:spacing w:val="52"/>
          <w:sz w:val="9"/>
        </w:rPr>
        <w:t> </w:t>
      </w:r>
      <w:r>
        <w:rPr>
          <w:sz w:val="13"/>
        </w:rPr>
        <w:t>City,</w:t>
      </w:r>
      <w:r>
        <w:rPr>
          <w:spacing w:val="14"/>
          <w:sz w:val="13"/>
        </w:rPr>
        <w:t> </w:t>
      </w:r>
      <w:r>
        <w:rPr>
          <w:sz w:val="13"/>
        </w:rPr>
        <w:t>ST</w:t>
      </w:r>
      <w:r>
        <w:rPr>
          <w:spacing w:val="40"/>
          <w:sz w:val="13"/>
        </w:rPr>
        <w:t> </w:t>
      </w:r>
      <w:r>
        <w:rPr>
          <w:sz w:val="9"/>
        </w:rPr>
        <w:t>•</w:t>
      </w:r>
      <w:r>
        <w:rPr>
          <w:spacing w:val="51"/>
          <w:sz w:val="9"/>
        </w:rPr>
        <w:t> </w:t>
      </w:r>
      <w:hyperlink r:id="rId5">
        <w:r>
          <w:rPr>
            <w:sz w:val="13"/>
          </w:rPr>
          <w:t>sam.wright@email.com</w:t>
        </w:r>
      </w:hyperlink>
      <w:r>
        <w:rPr>
          <w:spacing w:val="40"/>
          <w:sz w:val="13"/>
        </w:rPr>
        <w:t> </w:t>
      </w:r>
      <w:r>
        <w:rPr>
          <w:sz w:val="9"/>
        </w:rPr>
        <w:t>•</w:t>
      </w:r>
      <w:r>
        <w:rPr>
          <w:spacing w:val="51"/>
          <w:sz w:val="9"/>
        </w:rPr>
        <w:t> </w:t>
      </w:r>
      <w:r>
        <w:rPr>
          <w:spacing w:val="-2"/>
          <w:sz w:val="13"/>
        </w:rPr>
        <w:t>LinkedIn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2"/>
      </w:pPr>
    </w:p>
    <w:p>
      <w:pPr>
        <w:pStyle w:val="BodyText"/>
        <w:spacing w:line="290" w:lineRule="auto" w:before="1"/>
        <w:ind w:left="23"/>
      </w:pPr>
      <w:r>
        <w:rPr/>
        <w:t>Entrepreneurial</w:t>
      </w:r>
      <w:r>
        <w:rPr>
          <w:spacing w:val="27"/>
        </w:rPr>
        <w:t> </w:t>
      </w:r>
      <w:r>
        <w:rPr/>
        <w:t>Business</w:t>
      </w:r>
      <w:r>
        <w:rPr>
          <w:spacing w:val="36"/>
        </w:rPr>
        <w:t> </w:t>
      </w:r>
      <w:r>
        <w:rPr/>
        <w:t>Consultant</w:t>
      </w:r>
      <w:r>
        <w:rPr>
          <w:spacing w:val="29"/>
        </w:rPr>
        <w:t> </w:t>
      </w:r>
      <w:r>
        <w:rPr/>
        <w:t>with</w:t>
      </w:r>
      <w:r>
        <w:rPr>
          <w:spacing w:val="36"/>
        </w:rPr>
        <w:t> </w:t>
      </w:r>
      <w:r>
        <w:rPr/>
        <w:t>15</w:t>
      </w:r>
      <w:r>
        <w:rPr>
          <w:spacing w:val="29"/>
        </w:rPr>
        <w:t> </w:t>
      </w:r>
      <w:r>
        <w:rPr/>
        <w:t>years</w:t>
      </w:r>
      <w:r>
        <w:rPr>
          <w:spacing w:val="36"/>
        </w:rPr>
        <w:t> </w:t>
      </w:r>
      <w:r>
        <w:rPr/>
        <w:t>of</w:t>
      </w:r>
      <w:r>
        <w:rPr>
          <w:spacing w:val="31"/>
        </w:rPr>
        <w:t> </w:t>
      </w:r>
      <w:r>
        <w:rPr/>
        <w:t>experience</w:t>
      </w:r>
      <w:r>
        <w:rPr>
          <w:spacing w:val="36"/>
        </w:rPr>
        <w:t> </w:t>
      </w:r>
      <w:r>
        <w:rPr/>
        <w:t>advising</w:t>
      </w:r>
      <w:r>
        <w:rPr>
          <w:spacing w:val="36"/>
        </w:rPr>
        <w:t> </w:t>
      </w:r>
      <w:r>
        <w:rPr/>
        <w:t>startups</w:t>
      </w:r>
      <w:r>
        <w:rPr>
          <w:spacing w:val="36"/>
        </w:rPr>
        <w:t> </w:t>
      </w:r>
      <w:r>
        <w:rPr/>
        <w:t>and</w:t>
      </w:r>
      <w:r>
        <w:rPr>
          <w:spacing w:val="36"/>
        </w:rPr>
        <w:t> </w:t>
      </w:r>
      <w:r>
        <w:rPr/>
        <w:t>small</w:t>
      </w:r>
      <w:r>
        <w:rPr>
          <w:spacing w:val="27"/>
        </w:rPr>
        <w:t> </w:t>
      </w:r>
      <w:r>
        <w:rPr/>
        <w:t>businesses</w:t>
      </w:r>
      <w:r>
        <w:rPr>
          <w:spacing w:val="36"/>
        </w:rPr>
        <w:t> </w:t>
      </w:r>
      <w:r>
        <w:rPr/>
        <w:t>on</w:t>
      </w:r>
      <w:r>
        <w:rPr>
          <w:spacing w:val="36"/>
        </w:rPr>
        <w:t> </w:t>
      </w:r>
      <w:r>
        <w:rPr/>
        <w:t>growth</w:t>
      </w:r>
      <w:r>
        <w:rPr>
          <w:spacing w:val="36"/>
        </w:rPr>
        <w:t> </w:t>
      </w:r>
      <w:r>
        <w:rPr/>
        <w:t>strategies,</w:t>
      </w:r>
      <w:r>
        <w:rPr>
          <w:spacing w:val="36"/>
        </w:rPr>
        <w:t> </w:t>
      </w:r>
      <w:r>
        <w:rPr/>
        <w:t>operational efficiency,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market</w:t>
      </w:r>
      <w:r>
        <w:rPr>
          <w:spacing w:val="34"/>
        </w:rPr>
        <w:t> </w:t>
      </w:r>
      <w:r>
        <w:rPr/>
        <w:t>positioning.</w:t>
      </w:r>
      <w:r>
        <w:rPr>
          <w:spacing w:val="34"/>
        </w:rPr>
        <w:t> </w:t>
      </w:r>
      <w:r>
        <w:rPr/>
        <w:t>Skilled</w:t>
      </w:r>
      <w:r>
        <w:rPr>
          <w:spacing w:val="34"/>
        </w:rPr>
        <w:t> </w:t>
      </w:r>
      <w:r>
        <w:rPr/>
        <w:t>in</w:t>
      </w:r>
      <w:r>
        <w:rPr>
          <w:spacing w:val="34"/>
        </w:rPr>
        <w:t> </w:t>
      </w:r>
      <w:r>
        <w:rPr/>
        <w:t>business</w:t>
      </w:r>
      <w:r>
        <w:rPr>
          <w:spacing w:val="34"/>
        </w:rPr>
        <w:t> </w:t>
      </w:r>
      <w:r>
        <w:rPr/>
        <w:t>planning,</w:t>
      </w:r>
      <w:r>
        <w:rPr>
          <w:spacing w:val="34"/>
        </w:rPr>
        <w:t> </w:t>
      </w:r>
      <w:r>
        <w:rPr/>
        <w:t>financial</w:t>
      </w:r>
      <w:r>
        <w:rPr>
          <w:spacing w:val="25"/>
        </w:rPr>
        <w:t> </w:t>
      </w:r>
      <w:r>
        <w:rPr/>
        <w:t>forecasting,</w:t>
      </w:r>
      <w:r>
        <w:rPr>
          <w:spacing w:val="34"/>
        </w:rPr>
        <w:t> </w:t>
      </w:r>
      <w:r>
        <w:rPr/>
        <w:t>and</w:t>
      </w:r>
      <w:r>
        <w:rPr>
          <w:spacing w:val="34"/>
        </w:rPr>
        <w:t> </w:t>
      </w:r>
      <w:r>
        <w:rPr/>
        <w:t>investor</w:t>
      </w:r>
      <w:r>
        <w:rPr>
          <w:spacing w:val="27"/>
        </w:rPr>
        <w:t> </w:t>
      </w:r>
      <w:r>
        <w:rPr/>
        <w:t>relations.</w:t>
      </w:r>
    </w:p>
    <w:p>
      <w:pPr>
        <w:pStyle w:val="BodyText"/>
        <w:spacing w:before="29"/>
      </w:pPr>
    </w:p>
    <w:p>
      <w:pPr>
        <w:pStyle w:val="Heading2"/>
      </w:pPr>
      <w:r>
        <w:rPr>
          <w:color w:val="384D6A"/>
          <w:spacing w:val="2"/>
          <w:w w:val="130"/>
          <w:sz w:val="20"/>
        </w:rPr>
        <w:t>P</w:t>
      </w:r>
      <w:r>
        <w:rPr>
          <w:color w:val="384D6A"/>
          <w:spacing w:val="2"/>
          <w:w w:val="130"/>
        </w:rPr>
        <w:t>rofessional</w:t>
      </w:r>
      <w:r>
        <w:rPr>
          <w:color w:val="384D6A"/>
          <w:spacing w:val="52"/>
          <w:w w:val="135"/>
        </w:rPr>
        <w:t> </w:t>
      </w:r>
      <w:r>
        <w:rPr>
          <w:color w:val="384D6A"/>
          <w:spacing w:val="-2"/>
          <w:w w:val="135"/>
        </w:rPr>
        <w:t>Experience</w:t>
      </w:r>
    </w:p>
    <w:p>
      <w:pPr>
        <w:pStyle w:val="BodyText"/>
        <w:spacing w:before="45"/>
        <w:rPr>
          <w:rFonts w:ascii="Calibri"/>
          <w:b/>
          <w:sz w:val="16"/>
        </w:rPr>
      </w:pPr>
    </w:p>
    <w:p>
      <w:pPr>
        <w:pStyle w:val="BodyText"/>
        <w:spacing w:line="290" w:lineRule="auto"/>
        <w:ind w:left="358" w:right="5199"/>
      </w:pPr>
      <w:r>
        <w:rPr/>
        <w:t>Principal Consultant</w:t>
      </w:r>
      <w:r>
        <w:rPr>
          <w:spacing w:val="35"/>
        </w:rPr>
        <w:t> </w:t>
      </w:r>
      <w:r>
        <w:rPr>
          <w:w w:val="80"/>
        </w:rPr>
        <w:t>|</w:t>
      </w:r>
      <w:r>
        <w:rPr/>
        <w:t> Wright Strategy Group </w:t>
      </w:r>
      <w:r>
        <w:rPr>
          <w:w w:val="80"/>
        </w:rPr>
        <w:t>| </w:t>
      </w:r>
      <w:r>
        <w:rPr/>
        <w:t>Austin, TX January 2010 </w:t>
      </w:r>
      <w:r>
        <w:rPr>
          <w:w w:val="125"/>
        </w:rPr>
        <w:t>– </w:t>
      </w:r>
      <w:r>
        <w:rPr/>
        <w:t>Present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Guided</w:t>
      </w:r>
      <w:r>
        <w:rPr>
          <w:spacing w:val="14"/>
          <w:sz w:val="15"/>
        </w:rPr>
        <w:t> </w:t>
      </w:r>
      <w:r>
        <w:rPr>
          <w:sz w:val="15"/>
        </w:rPr>
        <w:t>over</w:t>
      </w:r>
      <w:r>
        <w:rPr>
          <w:spacing w:val="9"/>
          <w:sz w:val="15"/>
        </w:rPr>
        <w:t> </w:t>
      </w:r>
      <w:r>
        <w:rPr>
          <w:sz w:val="15"/>
        </w:rPr>
        <w:t>75</w:t>
      </w:r>
      <w:r>
        <w:rPr>
          <w:spacing w:val="14"/>
          <w:sz w:val="15"/>
        </w:rPr>
        <w:t> </w:t>
      </w:r>
      <w:r>
        <w:rPr>
          <w:sz w:val="15"/>
        </w:rPr>
        <w:t>startups</w:t>
      </w:r>
      <w:r>
        <w:rPr>
          <w:spacing w:val="14"/>
          <w:sz w:val="15"/>
        </w:rPr>
        <w:t> </w:t>
      </w:r>
      <w:r>
        <w:rPr>
          <w:sz w:val="15"/>
        </w:rPr>
        <w:t>from</w:t>
      </w:r>
      <w:r>
        <w:rPr>
          <w:spacing w:val="14"/>
          <w:sz w:val="15"/>
        </w:rPr>
        <w:t> </w:t>
      </w:r>
      <w:r>
        <w:rPr>
          <w:sz w:val="15"/>
        </w:rPr>
        <w:t>concept</w:t>
      </w:r>
      <w:r>
        <w:rPr>
          <w:spacing w:val="15"/>
          <w:sz w:val="15"/>
        </w:rPr>
        <w:t> </w:t>
      </w:r>
      <w:r>
        <w:rPr>
          <w:sz w:val="15"/>
        </w:rPr>
        <w:t>to</w:t>
      </w:r>
      <w:r>
        <w:rPr>
          <w:spacing w:val="14"/>
          <w:sz w:val="15"/>
        </w:rPr>
        <w:t> </w:t>
      </w:r>
      <w:r>
        <w:rPr>
          <w:sz w:val="15"/>
        </w:rPr>
        <w:t>launch,</w:t>
      </w:r>
      <w:r>
        <w:rPr>
          <w:spacing w:val="9"/>
          <w:sz w:val="15"/>
        </w:rPr>
        <w:t> </w:t>
      </w:r>
      <w:r>
        <w:rPr>
          <w:sz w:val="15"/>
        </w:rPr>
        <w:t>with</w:t>
      </w:r>
      <w:r>
        <w:rPr>
          <w:spacing w:val="14"/>
          <w:sz w:val="15"/>
        </w:rPr>
        <w:t> </w:t>
      </w:r>
      <w:r>
        <w:rPr>
          <w:sz w:val="15"/>
        </w:rPr>
        <w:t>60%</w:t>
      </w:r>
      <w:r>
        <w:rPr>
          <w:spacing w:val="14"/>
          <w:sz w:val="15"/>
        </w:rPr>
        <w:t> </w:t>
      </w:r>
      <w:r>
        <w:rPr>
          <w:sz w:val="15"/>
        </w:rPr>
        <w:t>achieving</w:t>
      </w:r>
      <w:r>
        <w:rPr>
          <w:spacing w:val="15"/>
          <w:sz w:val="15"/>
        </w:rPr>
        <w:t> </w:t>
      </w:r>
      <w:r>
        <w:rPr>
          <w:sz w:val="15"/>
        </w:rPr>
        <w:t>profitability</w:t>
      </w:r>
      <w:r>
        <w:rPr>
          <w:spacing w:val="3"/>
          <w:sz w:val="15"/>
        </w:rPr>
        <w:t> </w:t>
      </w:r>
      <w:r>
        <w:rPr>
          <w:sz w:val="15"/>
        </w:rPr>
        <w:t>within</w:t>
      </w:r>
      <w:r>
        <w:rPr>
          <w:spacing w:val="14"/>
          <w:sz w:val="15"/>
        </w:rPr>
        <w:t> </w:t>
      </w:r>
      <w:r>
        <w:rPr>
          <w:sz w:val="15"/>
        </w:rPr>
        <w:t>the</w:t>
      </w:r>
      <w:r>
        <w:rPr>
          <w:spacing w:val="15"/>
          <w:sz w:val="15"/>
        </w:rPr>
        <w:t> </w:t>
      </w:r>
      <w:r>
        <w:rPr>
          <w:sz w:val="15"/>
        </w:rPr>
        <w:t>first</w:t>
      </w:r>
      <w:r>
        <w:rPr>
          <w:spacing w:val="14"/>
          <w:sz w:val="15"/>
        </w:rPr>
        <w:t> </w:t>
      </w:r>
      <w:r>
        <w:rPr>
          <w:sz w:val="15"/>
        </w:rPr>
        <w:t>two</w:t>
      </w:r>
      <w:r>
        <w:rPr>
          <w:spacing w:val="9"/>
          <w:sz w:val="15"/>
        </w:rPr>
        <w:t> </w:t>
      </w:r>
      <w:r>
        <w:rPr>
          <w:spacing w:val="-2"/>
          <w:sz w:val="15"/>
        </w:rPr>
        <w:t>years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Developed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business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plans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that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secured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more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than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$50M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in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combined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investor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funding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for</w:t>
      </w:r>
      <w:r>
        <w:rPr>
          <w:spacing w:val="3"/>
          <w:w w:val="105"/>
          <w:sz w:val="15"/>
        </w:rPr>
        <w:t> </w:t>
      </w:r>
      <w:r>
        <w:rPr>
          <w:spacing w:val="-2"/>
          <w:w w:val="105"/>
          <w:sz w:val="15"/>
        </w:rPr>
        <w:t>clients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Designed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operational</w:t>
      </w:r>
      <w:r>
        <w:rPr>
          <w:spacing w:val="-2"/>
          <w:w w:val="105"/>
          <w:sz w:val="15"/>
        </w:rPr>
        <w:t> </w:t>
      </w:r>
      <w:r>
        <w:rPr>
          <w:w w:val="105"/>
          <w:sz w:val="15"/>
        </w:rPr>
        <w:t>frameworks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that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reduced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client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overhead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costs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by</w:t>
      </w:r>
      <w:r>
        <w:rPr>
          <w:spacing w:val="-2"/>
          <w:w w:val="105"/>
          <w:sz w:val="15"/>
        </w:rPr>
        <w:t> </w:t>
      </w:r>
      <w:r>
        <w:rPr>
          <w:w w:val="105"/>
          <w:sz w:val="15"/>
        </w:rPr>
        <w:t>an</w:t>
      </w:r>
      <w:r>
        <w:rPr>
          <w:spacing w:val="4"/>
          <w:w w:val="105"/>
          <w:sz w:val="15"/>
        </w:rPr>
        <w:t> </w:t>
      </w:r>
      <w:r>
        <w:rPr>
          <w:w w:val="105"/>
          <w:sz w:val="15"/>
        </w:rPr>
        <w:t>average</w:t>
      </w:r>
      <w:r>
        <w:rPr>
          <w:spacing w:val="3"/>
          <w:w w:val="105"/>
          <w:sz w:val="15"/>
        </w:rPr>
        <w:t> </w:t>
      </w:r>
      <w:r>
        <w:rPr>
          <w:w w:val="105"/>
          <w:sz w:val="15"/>
        </w:rPr>
        <w:t>of </w:t>
      </w:r>
      <w:r>
        <w:rPr>
          <w:spacing w:val="-5"/>
          <w:w w:val="105"/>
          <w:sz w:val="15"/>
        </w:rPr>
        <w:t>20%</w:t>
      </w:r>
    </w:p>
    <w:p>
      <w:pPr>
        <w:pStyle w:val="BodyText"/>
        <w:spacing w:line="290" w:lineRule="auto" w:before="149"/>
        <w:ind w:left="358" w:right="5751"/>
      </w:pPr>
      <w:r>
        <w:rPr/>
        <w:t>Senior Business Advisor</w:t>
      </w:r>
      <w:r>
        <w:rPr>
          <w:spacing w:val="37"/>
        </w:rPr>
        <w:t> </w:t>
      </w:r>
      <w:r>
        <w:rPr>
          <w:w w:val="80"/>
        </w:rPr>
        <w:t>|</w:t>
      </w:r>
      <w:r>
        <w:rPr>
          <w:spacing w:val="36"/>
        </w:rPr>
        <w:t> </w:t>
      </w:r>
      <w:r>
        <w:rPr/>
        <w:t>Startup Texas </w:t>
      </w:r>
      <w:r>
        <w:rPr>
          <w:w w:val="80"/>
        </w:rPr>
        <w:t>| </w:t>
      </w:r>
      <w:r>
        <w:rPr/>
        <w:t>Austin, TX June 2008 </w:t>
      </w:r>
      <w:r>
        <w:rPr>
          <w:w w:val="125"/>
        </w:rPr>
        <w:t>– </w:t>
      </w:r>
      <w:r>
        <w:rPr/>
        <w:t>January 2010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123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Led</w:t>
      </w:r>
      <w:r>
        <w:rPr>
          <w:spacing w:val="26"/>
          <w:sz w:val="15"/>
        </w:rPr>
        <w:t> </w:t>
      </w:r>
      <w:r>
        <w:rPr>
          <w:sz w:val="15"/>
        </w:rPr>
        <w:t>workshops</w:t>
      </w:r>
      <w:r>
        <w:rPr>
          <w:spacing w:val="35"/>
          <w:sz w:val="15"/>
        </w:rPr>
        <w:t> </w:t>
      </w:r>
      <w:r>
        <w:rPr>
          <w:sz w:val="15"/>
        </w:rPr>
        <w:t>on</w:t>
      </w:r>
      <w:r>
        <w:rPr>
          <w:spacing w:val="34"/>
          <w:sz w:val="15"/>
        </w:rPr>
        <w:t> </w:t>
      </w:r>
      <w:r>
        <w:rPr>
          <w:sz w:val="15"/>
        </w:rPr>
        <w:t>business</w:t>
      </w:r>
      <w:r>
        <w:rPr>
          <w:spacing w:val="34"/>
          <w:sz w:val="15"/>
        </w:rPr>
        <w:t> </w:t>
      </w:r>
      <w:r>
        <w:rPr>
          <w:sz w:val="15"/>
        </w:rPr>
        <w:t>planning</w:t>
      </w:r>
      <w:r>
        <w:rPr>
          <w:spacing w:val="34"/>
          <w:sz w:val="15"/>
        </w:rPr>
        <w:t> </w:t>
      </w:r>
      <w:r>
        <w:rPr>
          <w:sz w:val="15"/>
        </w:rPr>
        <w:t>and</w:t>
      </w:r>
      <w:r>
        <w:rPr>
          <w:spacing w:val="34"/>
          <w:sz w:val="15"/>
        </w:rPr>
        <w:t> </w:t>
      </w:r>
      <w:r>
        <w:rPr>
          <w:sz w:val="15"/>
        </w:rPr>
        <w:t>funding</w:t>
      </w:r>
      <w:r>
        <w:rPr>
          <w:spacing w:val="34"/>
          <w:sz w:val="15"/>
        </w:rPr>
        <w:t> </w:t>
      </w:r>
      <w:r>
        <w:rPr>
          <w:sz w:val="15"/>
        </w:rPr>
        <w:t>strategies</w:t>
      </w:r>
      <w:r>
        <w:rPr>
          <w:spacing w:val="34"/>
          <w:sz w:val="15"/>
        </w:rPr>
        <w:t> </w:t>
      </w:r>
      <w:r>
        <w:rPr>
          <w:sz w:val="15"/>
        </w:rPr>
        <w:t>for</w:t>
      </w:r>
      <w:r>
        <w:rPr>
          <w:spacing w:val="27"/>
          <w:sz w:val="15"/>
        </w:rPr>
        <w:t> </w:t>
      </w:r>
      <w:r>
        <w:rPr>
          <w:sz w:val="15"/>
        </w:rPr>
        <w:t>over</w:t>
      </w:r>
      <w:r>
        <w:rPr>
          <w:spacing w:val="27"/>
          <w:sz w:val="15"/>
        </w:rPr>
        <w:t> </w:t>
      </w:r>
      <w:r>
        <w:rPr>
          <w:sz w:val="15"/>
        </w:rPr>
        <w:t>200</w:t>
      </w:r>
      <w:r>
        <w:rPr>
          <w:spacing w:val="35"/>
          <w:sz w:val="15"/>
        </w:rPr>
        <w:t> </w:t>
      </w:r>
      <w:r>
        <w:rPr>
          <w:sz w:val="15"/>
        </w:rPr>
        <w:t>entrepreneurs</w:t>
      </w:r>
      <w:r>
        <w:rPr>
          <w:spacing w:val="34"/>
          <w:sz w:val="15"/>
        </w:rPr>
        <w:t> </w:t>
      </w:r>
      <w:r>
        <w:rPr>
          <w:spacing w:val="-2"/>
          <w:sz w:val="15"/>
        </w:rPr>
        <w:t>annually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290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Provided</w:t>
      </w:r>
      <w:r>
        <w:rPr>
          <w:spacing w:val="25"/>
          <w:sz w:val="15"/>
        </w:rPr>
        <w:t> </w:t>
      </w:r>
      <w:r>
        <w:rPr>
          <w:sz w:val="15"/>
        </w:rPr>
        <w:t>one-on-one</w:t>
      </w:r>
      <w:r>
        <w:rPr>
          <w:spacing w:val="25"/>
          <w:sz w:val="15"/>
        </w:rPr>
        <w:t> </w:t>
      </w:r>
      <w:r>
        <w:rPr>
          <w:sz w:val="15"/>
        </w:rPr>
        <w:t>consulting</w:t>
      </w:r>
      <w:r>
        <w:rPr>
          <w:spacing w:val="25"/>
          <w:sz w:val="15"/>
        </w:rPr>
        <w:t> </w:t>
      </w:r>
      <w:r>
        <w:rPr>
          <w:sz w:val="15"/>
        </w:rPr>
        <w:t>that</w:t>
      </w:r>
      <w:r>
        <w:rPr>
          <w:spacing w:val="25"/>
          <w:sz w:val="15"/>
        </w:rPr>
        <w:t> </w:t>
      </w:r>
      <w:r>
        <w:rPr>
          <w:sz w:val="15"/>
        </w:rPr>
        <w:t>resulted</w:t>
      </w:r>
      <w:r>
        <w:rPr>
          <w:spacing w:val="26"/>
          <w:sz w:val="15"/>
        </w:rPr>
        <w:t> </w:t>
      </w:r>
      <w:r>
        <w:rPr>
          <w:sz w:val="15"/>
        </w:rPr>
        <w:t>in</w:t>
      </w:r>
      <w:r>
        <w:rPr>
          <w:spacing w:val="25"/>
          <w:sz w:val="15"/>
        </w:rPr>
        <w:t> </w:t>
      </w:r>
      <w:r>
        <w:rPr>
          <w:sz w:val="15"/>
        </w:rPr>
        <w:t>a</w:t>
      </w:r>
      <w:r>
        <w:rPr>
          <w:spacing w:val="25"/>
          <w:sz w:val="15"/>
        </w:rPr>
        <w:t> </w:t>
      </w:r>
      <w:r>
        <w:rPr>
          <w:sz w:val="15"/>
        </w:rPr>
        <w:t>25%</w:t>
      </w:r>
      <w:r>
        <w:rPr>
          <w:spacing w:val="25"/>
          <w:sz w:val="15"/>
        </w:rPr>
        <w:t> </w:t>
      </w:r>
      <w:r>
        <w:rPr>
          <w:sz w:val="15"/>
        </w:rPr>
        <w:t>improvement</w:t>
      </w:r>
      <w:r>
        <w:rPr>
          <w:spacing w:val="25"/>
          <w:sz w:val="15"/>
        </w:rPr>
        <w:t> </w:t>
      </w:r>
      <w:r>
        <w:rPr>
          <w:sz w:val="15"/>
        </w:rPr>
        <w:t>in</w:t>
      </w:r>
      <w:r>
        <w:rPr>
          <w:spacing w:val="26"/>
          <w:sz w:val="15"/>
        </w:rPr>
        <w:t> </w:t>
      </w:r>
      <w:r>
        <w:rPr>
          <w:sz w:val="15"/>
        </w:rPr>
        <w:t>client</w:t>
      </w:r>
      <w:r>
        <w:rPr>
          <w:spacing w:val="25"/>
          <w:sz w:val="15"/>
        </w:rPr>
        <w:t> </w:t>
      </w:r>
      <w:r>
        <w:rPr>
          <w:sz w:val="15"/>
        </w:rPr>
        <w:t>revenue</w:t>
      </w:r>
      <w:r>
        <w:rPr>
          <w:spacing w:val="25"/>
          <w:sz w:val="15"/>
        </w:rPr>
        <w:t> </w:t>
      </w:r>
      <w:r>
        <w:rPr>
          <w:sz w:val="15"/>
        </w:rPr>
        <w:t>growth</w:t>
      </w:r>
      <w:r>
        <w:rPr>
          <w:spacing w:val="25"/>
          <w:sz w:val="15"/>
        </w:rPr>
        <w:t> </w:t>
      </w:r>
      <w:r>
        <w:rPr>
          <w:spacing w:val="-2"/>
          <w:sz w:val="15"/>
        </w:rPr>
        <w:t>rates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18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Built</w:t>
      </w:r>
      <w:r>
        <w:rPr>
          <w:spacing w:val="21"/>
          <w:sz w:val="15"/>
        </w:rPr>
        <w:t> </w:t>
      </w:r>
      <w:r>
        <w:rPr>
          <w:sz w:val="15"/>
        </w:rPr>
        <w:t>strategic</w:t>
      </w:r>
      <w:r>
        <w:rPr>
          <w:spacing w:val="22"/>
          <w:sz w:val="15"/>
        </w:rPr>
        <w:t> </w:t>
      </w:r>
      <w:r>
        <w:rPr>
          <w:sz w:val="15"/>
        </w:rPr>
        <w:t>partnerships</w:t>
      </w:r>
      <w:r>
        <w:rPr>
          <w:spacing w:val="15"/>
          <w:sz w:val="15"/>
        </w:rPr>
        <w:t> </w:t>
      </w:r>
      <w:r>
        <w:rPr>
          <w:sz w:val="15"/>
        </w:rPr>
        <w:t>with</w:t>
      </w:r>
      <w:r>
        <w:rPr>
          <w:spacing w:val="21"/>
          <w:sz w:val="15"/>
        </w:rPr>
        <w:t> </w:t>
      </w:r>
      <w:r>
        <w:rPr>
          <w:sz w:val="15"/>
        </w:rPr>
        <w:t>local</w:t>
      </w:r>
      <w:r>
        <w:rPr>
          <w:spacing w:val="14"/>
          <w:sz w:val="15"/>
        </w:rPr>
        <w:t> </w:t>
      </w:r>
      <w:r>
        <w:rPr>
          <w:sz w:val="15"/>
        </w:rPr>
        <w:t>accelerators</w:t>
      </w:r>
      <w:r>
        <w:rPr>
          <w:spacing w:val="22"/>
          <w:sz w:val="15"/>
        </w:rPr>
        <w:t> </w:t>
      </w:r>
      <w:r>
        <w:rPr>
          <w:sz w:val="15"/>
        </w:rPr>
        <w:t>and</w:t>
      </w:r>
      <w:r>
        <w:rPr>
          <w:spacing w:val="15"/>
          <w:sz w:val="15"/>
        </w:rPr>
        <w:t> </w:t>
      </w:r>
      <w:r>
        <w:rPr>
          <w:sz w:val="15"/>
        </w:rPr>
        <w:t>venture</w:t>
      </w:r>
      <w:r>
        <w:rPr>
          <w:spacing w:val="22"/>
          <w:sz w:val="15"/>
        </w:rPr>
        <w:t> </w:t>
      </w:r>
      <w:r>
        <w:rPr>
          <w:sz w:val="15"/>
        </w:rPr>
        <w:t>funds</w:t>
      </w:r>
      <w:r>
        <w:rPr>
          <w:spacing w:val="21"/>
          <w:sz w:val="15"/>
        </w:rPr>
        <w:t> </w:t>
      </w:r>
      <w:r>
        <w:rPr>
          <w:sz w:val="15"/>
        </w:rPr>
        <w:t>to</w:t>
      </w:r>
      <w:r>
        <w:rPr>
          <w:spacing w:val="22"/>
          <w:sz w:val="15"/>
        </w:rPr>
        <w:t> </w:t>
      </w:r>
      <w:r>
        <w:rPr>
          <w:sz w:val="15"/>
        </w:rPr>
        <w:t>support</w:t>
      </w:r>
      <w:r>
        <w:rPr>
          <w:spacing w:val="21"/>
          <w:sz w:val="15"/>
        </w:rPr>
        <w:t> </w:t>
      </w:r>
      <w:r>
        <w:rPr>
          <w:sz w:val="15"/>
        </w:rPr>
        <w:t>client</w:t>
      </w:r>
      <w:r>
        <w:rPr>
          <w:spacing w:val="22"/>
          <w:sz w:val="15"/>
        </w:rPr>
        <w:t> </w:t>
      </w:r>
      <w:r>
        <w:rPr>
          <w:spacing w:val="-2"/>
          <w:sz w:val="15"/>
        </w:rPr>
        <w:t>scaling</w:t>
      </w:r>
    </w:p>
    <w:p>
      <w:pPr>
        <w:pStyle w:val="BodyText"/>
        <w:spacing w:before="8"/>
        <w:rPr>
          <w:sz w:val="16"/>
        </w:rPr>
      </w:pPr>
    </w:p>
    <w:p>
      <w:pPr>
        <w:pStyle w:val="Heading2"/>
      </w:pPr>
      <w:r>
        <w:rPr>
          <w:color w:val="384D6A"/>
          <w:spacing w:val="-2"/>
          <w:w w:val="135"/>
          <w:sz w:val="20"/>
        </w:rPr>
        <w:t>E</w:t>
      </w:r>
      <w:r>
        <w:rPr>
          <w:color w:val="384D6A"/>
          <w:spacing w:val="-2"/>
          <w:w w:val="135"/>
        </w:rPr>
        <w:t>ducation</w:t>
      </w:r>
    </w:p>
    <w:p>
      <w:pPr>
        <w:pStyle w:val="BodyText"/>
        <w:spacing w:before="45"/>
        <w:rPr>
          <w:rFonts w:ascii="Calibri"/>
          <w:b/>
          <w:sz w:val="16"/>
        </w:rPr>
      </w:pPr>
    </w:p>
    <w:p>
      <w:pPr>
        <w:pStyle w:val="BodyText"/>
        <w:spacing w:line="290" w:lineRule="auto"/>
        <w:ind w:left="358" w:right="3655"/>
      </w:pPr>
      <w:r>
        <w:rPr/>
        <w:t>Master of Business Administration (MBA)</w:t>
      </w:r>
      <w:r>
        <w:rPr>
          <w:spacing w:val="35"/>
        </w:rPr>
        <w:t> </w:t>
      </w:r>
      <w:r>
        <w:rPr>
          <w:w w:val="85"/>
        </w:rPr>
        <w:t>|</w:t>
      </w:r>
      <w:r>
        <w:rPr>
          <w:spacing w:val="35"/>
        </w:rPr>
        <w:t> </w:t>
      </w:r>
      <w:r>
        <w:rPr/>
        <w:t>University of Texas at Austin </w:t>
      </w:r>
      <w:r>
        <w:rPr>
          <w:w w:val="85"/>
        </w:rPr>
        <w:t>| </w:t>
      </w:r>
      <w:r>
        <w:rPr/>
        <w:t>Austin, TX May</w:t>
      </w:r>
      <w:r>
        <w:rPr>
          <w:spacing w:val="-7"/>
        </w:rPr>
        <w:t> </w:t>
      </w:r>
      <w:r>
        <w:rPr/>
        <w:t>2008</w:t>
      </w:r>
    </w:p>
    <w:p>
      <w:pPr>
        <w:pStyle w:val="BodyText"/>
      </w:pPr>
    </w:p>
    <w:p>
      <w:pPr>
        <w:pStyle w:val="BodyText"/>
        <w:spacing w:before="111"/>
      </w:pPr>
    </w:p>
    <w:p>
      <w:pPr>
        <w:pStyle w:val="Heading2"/>
      </w:pPr>
      <w:r>
        <w:rPr>
          <w:color w:val="384D6A"/>
          <w:w w:val="135"/>
          <w:sz w:val="20"/>
        </w:rPr>
        <w:t>K</w:t>
      </w:r>
      <w:r>
        <w:rPr>
          <w:color w:val="384D6A"/>
          <w:w w:val="135"/>
        </w:rPr>
        <w:t>ey</w:t>
      </w:r>
      <w:r>
        <w:rPr>
          <w:color w:val="384D6A"/>
          <w:spacing w:val="14"/>
          <w:w w:val="135"/>
        </w:rPr>
        <w:t> </w:t>
      </w:r>
      <w:r>
        <w:rPr>
          <w:color w:val="384D6A"/>
          <w:spacing w:val="-2"/>
          <w:w w:val="135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133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14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5"/>
        </w:rPr>
        <w:t>Business</w:t>
      </w:r>
      <w:r>
        <w:rPr>
          <w:spacing w:val="40"/>
          <w:w w:val="105"/>
          <w:sz w:val="15"/>
        </w:rPr>
        <w:t> </w:t>
      </w:r>
      <w:r>
        <w:rPr>
          <w:spacing w:val="-2"/>
          <w:w w:val="105"/>
          <w:sz w:val="15"/>
        </w:rPr>
        <w:t>Planning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93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5"/>
        </w:rPr>
        <w:t>Funding</w:t>
      </w:r>
      <w:r>
        <w:rPr>
          <w:spacing w:val="20"/>
          <w:w w:val="105"/>
          <w:sz w:val="15"/>
        </w:rPr>
        <w:t> </w:t>
      </w:r>
      <w:r>
        <w:rPr>
          <w:spacing w:val="-2"/>
          <w:w w:val="105"/>
          <w:sz w:val="15"/>
        </w:rPr>
        <w:t>Strategy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Operational</w:t>
      </w:r>
      <w:r>
        <w:rPr>
          <w:spacing w:val="26"/>
          <w:sz w:val="15"/>
        </w:rPr>
        <w:t> </w:t>
      </w:r>
      <w:r>
        <w:rPr>
          <w:spacing w:val="-2"/>
          <w:sz w:val="15"/>
        </w:rPr>
        <w:t>Efficiency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14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sz w:val="15"/>
        </w:rPr>
        <w:t>Financial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Forecasting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Market</w:t>
      </w:r>
      <w:r>
        <w:rPr>
          <w:spacing w:val="24"/>
          <w:sz w:val="15"/>
        </w:rPr>
        <w:t> </w:t>
      </w:r>
      <w:r>
        <w:rPr>
          <w:spacing w:val="-2"/>
          <w:sz w:val="15"/>
        </w:rPr>
        <w:t>Positioning</w:t>
      </w:r>
    </w:p>
    <w:p>
      <w:pPr>
        <w:pStyle w:val="ListParagraph"/>
        <w:spacing w:after="0" w:line="318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0" w:left="850" w:right="1133"/>
          <w:cols w:num="2" w:equalWidth="0">
            <w:col w:w="2269" w:space="1135"/>
            <w:col w:w="6533"/>
          </w:cols>
        </w:sectPr>
      </w:pPr>
    </w:p>
    <w:p>
      <w:pPr>
        <w:pStyle w:val="Heading2"/>
        <w:spacing w:before="17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8667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8667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105,0,16858,390,16858,390,12105,390,0xe" filled="true" fillcolor="#384d6a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4867274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83.2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5734049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51.4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6686549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526.499939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ge">
                  <wp:posOffset>2000249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57.499985pt;width:514.499959pt;height:.75pt;mso-position-horizontal-relative:page;mso-position-vertical-relative:page;z-index:15730688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384D6A"/>
          <w:spacing w:val="-2"/>
          <w:w w:val="130"/>
          <w:sz w:val="20"/>
        </w:rPr>
        <w:t>C</w:t>
      </w:r>
      <w:r>
        <w:rPr>
          <w:color w:val="384D6A"/>
          <w:spacing w:val="-2"/>
          <w:w w:val="130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240" w:lineRule="auto" w:before="136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Certified</w:t>
      </w:r>
      <w:r>
        <w:rPr>
          <w:spacing w:val="34"/>
          <w:sz w:val="15"/>
        </w:rPr>
        <w:t> </w:t>
      </w:r>
      <w:r>
        <w:rPr>
          <w:sz w:val="15"/>
        </w:rPr>
        <w:t>Management</w:t>
      </w:r>
      <w:r>
        <w:rPr>
          <w:spacing w:val="35"/>
          <w:sz w:val="15"/>
        </w:rPr>
        <w:t> </w:t>
      </w:r>
      <w:r>
        <w:rPr>
          <w:sz w:val="15"/>
        </w:rPr>
        <w:t>Consultant</w:t>
      </w:r>
      <w:r>
        <w:rPr>
          <w:spacing w:val="34"/>
          <w:sz w:val="15"/>
        </w:rPr>
        <w:t> </w:t>
      </w:r>
      <w:r>
        <w:rPr>
          <w:sz w:val="15"/>
        </w:rPr>
        <w:t>(CMC),</w:t>
      </w:r>
      <w:r>
        <w:rPr>
          <w:spacing w:val="35"/>
          <w:sz w:val="15"/>
        </w:rPr>
        <w:t> </w:t>
      </w:r>
      <w:r>
        <w:rPr>
          <w:sz w:val="15"/>
        </w:rPr>
        <w:t>Institute</w:t>
      </w:r>
      <w:r>
        <w:rPr>
          <w:spacing w:val="34"/>
          <w:sz w:val="15"/>
        </w:rPr>
        <w:t> </w:t>
      </w:r>
      <w:r>
        <w:rPr>
          <w:sz w:val="15"/>
        </w:rPr>
        <w:t>of</w:t>
      </w:r>
      <w:r>
        <w:rPr>
          <w:spacing w:val="29"/>
          <w:sz w:val="15"/>
        </w:rPr>
        <w:t> </w:t>
      </w:r>
      <w:r>
        <w:rPr>
          <w:sz w:val="15"/>
        </w:rPr>
        <w:t>Management</w:t>
      </w:r>
      <w:r>
        <w:rPr>
          <w:spacing w:val="35"/>
          <w:sz w:val="15"/>
        </w:rPr>
        <w:t> </w:t>
      </w:r>
      <w:r>
        <w:rPr>
          <w:sz w:val="15"/>
        </w:rPr>
        <w:t>Consultants</w:t>
      </w:r>
      <w:r>
        <w:rPr>
          <w:spacing w:val="34"/>
          <w:sz w:val="15"/>
        </w:rPr>
        <w:t> </w:t>
      </w:r>
      <w:r>
        <w:rPr>
          <w:sz w:val="15"/>
        </w:rPr>
        <w:t>USA</w:t>
      </w:r>
      <w:r>
        <w:rPr>
          <w:spacing w:val="26"/>
          <w:sz w:val="15"/>
        </w:rPr>
        <w:t> </w:t>
      </w:r>
      <w:r>
        <w:rPr>
          <w:sz w:val="15"/>
        </w:rPr>
        <w:t>,</w:t>
      </w:r>
      <w:r>
        <w:rPr>
          <w:spacing w:val="25"/>
          <w:sz w:val="15"/>
        </w:rPr>
        <w:t> </w:t>
      </w:r>
      <w:r>
        <w:rPr>
          <w:sz w:val="15"/>
        </w:rPr>
        <w:t>August</w:t>
      </w:r>
      <w:r>
        <w:rPr>
          <w:spacing w:val="35"/>
          <w:sz w:val="15"/>
        </w:rPr>
        <w:t> </w:t>
      </w:r>
      <w:r>
        <w:rPr>
          <w:spacing w:val="-4"/>
          <w:sz w:val="15"/>
        </w:rPr>
        <w:t>2014</w:t>
      </w:r>
    </w:p>
    <w:sectPr>
      <w:type w:val="continuous"/>
      <w:pgSz w:w="11920" w:h="16860"/>
      <w:pgMar w:top="0" w:bottom="0" w:left="850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8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4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0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4"/>
      <w:ind w:left="154"/>
      <w:outlineLvl w:val="1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8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2026-02-11T01:59:51Z</dcterms:created>
  <dcterms:modified xsi:type="dcterms:W3CDTF">2026-02-11T01:59:51Z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