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25"/>
          <w:sz w:val="70"/>
        </w:rPr>
        <w:t>Sophia</w:t>
      </w:r>
      <w:r>
        <w:rPr>
          <w:rFonts w:ascii="Calibri"/>
          <w:b/>
          <w:color w:val="FFFFFF"/>
          <w:spacing w:val="58"/>
          <w:w w:val="150"/>
          <w:sz w:val="70"/>
        </w:rPr>
        <w:t> </w:t>
      </w:r>
      <w:r>
        <w:rPr>
          <w:rFonts w:ascii="Calibri"/>
          <w:color w:val="FFFFFF"/>
          <w:spacing w:val="7"/>
          <w:w w:val="125"/>
          <w:sz w:val="70"/>
        </w:rPr>
        <w:t>Ramirez</w:t>
      </w:r>
    </w:p>
    <w:p>
      <w:pPr>
        <w:pStyle w:val="Heading1"/>
      </w:pPr>
      <w:r>
        <w:rPr>
          <w:color w:val="FFFFFF"/>
          <w:w w:val="130"/>
        </w:rPr>
        <w:t>Dialysis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Registered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Dialysis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Registered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8</w:t>
      </w:r>
      <w:r>
        <w:rPr>
          <w:b/>
          <w:color w:val="FFFFFF"/>
          <w:spacing w:val="-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Renal</w:t>
      </w:r>
      <w:r>
        <w:rPr>
          <w:b/>
          <w:color w:val="FFFFFF"/>
          <w:spacing w:val="-6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Care</w:t>
      </w:r>
    </w:p>
    <w:p>
      <w:pPr>
        <w:spacing w:line="271" w:lineRule="auto" w:before="24"/>
        <w:ind w:left="590" w:right="68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Experienced dialysis RN specializing in hemodialysis and peritoneal dialysis for patients with chronic kidney disease (CKD) and end-stage renal disease (ESRD). Skilled in vascular access management, fluid balance monitoring, and patient education. Passionate about improving patient quality of life through individualized dialysis treatment plans and compassionate care.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49443D"/>
          <w:w w:val="125"/>
        </w:rPr>
        <w:t>Personal</w:t>
      </w:r>
      <w:r>
        <w:rPr>
          <w:rFonts w:ascii="Calibri"/>
          <w:color w:val="49443D"/>
          <w:spacing w:val="60"/>
          <w:w w:val="125"/>
        </w:rPr>
        <w:t> </w:t>
      </w:r>
      <w:r>
        <w:rPr>
          <w:rFonts w:ascii="Calibri"/>
          <w:color w:val="49443D"/>
          <w:spacing w:val="-2"/>
          <w:w w:val="125"/>
        </w:rPr>
        <w:t>Information</w:t>
      </w:r>
      <w:r>
        <w:rPr>
          <w:rFonts w:ascii="Calibri"/>
          <w:color w:val="49443D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5"/>
          <w:w w:val="105"/>
        </w:rPr>
        <w:t> </w:t>
      </w:r>
      <w:r>
        <w:rPr>
          <w:color w:val="424242"/>
          <w:w w:val="105"/>
        </w:rPr>
        <w:t>789-</w:t>
      </w:r>
      <w:r>
        <w:rPr>
          <w:color w:val="424242"/>
          <w:spacing w:val="-4"/>
          <w:w w:val="105"/>
        </w:rPr>
        <w:t>0123</w:t>
      </w:r>
    </w:p>
    <w:p>
      <w:pPr>
        <w:pStyle w:val="BodyText"/>
        <w:spacing w:line="266" w:lineRule="auto" w:before="104"/>
        <w:ind w:left="347" w:right="1672"/>
      </w:pPr>
      <w:r>
        <w:rPr/>
        <w:br w:type="column"/>
      </w:r>
      <w:r>
        <w:rPr>
          <w:w w:val="115"/>
        </w:rPr>
        <w:t>DIALYSIS</w:t>
      </w:r>
      <w:r>
        <w:rPr>
          <w:spacing w:val="-4"/>
          <w:w w:val="115"/>
        </w:rPr>
        <w:t> </w:t>
      </w:r>
      <w:r>
        <w:rPr>
          <w:w w:val="115"/>
        </w:rPr>
        <w:t>REGISTERED</w:t>
      </w:r>
      <w:r>
        <w:rPr>
          <w:spacing w:val="-4"/>
          <w:w w:val="115"/>
        </w:rPr>
        <w:t> </w:t>
      </w:r>
      <w:r>
        <w:rPr>
          <w:w w:val="115"/>
        </w:rPr>
        <w:t>NURSE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DAVITA</w:t>
      </w:r>
      <w:r>
        <w:rPr>
          <w:spacing w:val="-10"/>
          <w:w w:val="115"/>
        </w:rPr>
        <w:t> </w:t>
      </w:r>
      <w:r>
        <w:rPr>
          <w:w w:val="115"/>
        </w:rPr>
        <w:t>KIDNEY</w:t>
      </w:r>
      <w:r>
        <w:rPr>
          <w:spacing w:val="-11"/>
          <w:w w:val="115"/>
        </w:rPr>
        <w:t> </w:t>
      </w:r>
      <w:r>
        <w:rPr>
          <w:w w:val="115"/>
        </w:rPr>
        <w:t>CARE,</w:t>
      </w:r>
      <w:r>
        <w:rPr>
          <w:spacing w:val="-10"/>
          <w:w w:val="115"/>
        </w:rPr>
        <w:t> </w:t>
      </w:r>
      <w:r>
        <w:rPr>
          <w:w w:val="115"/>
        </w:rPr>
        <w:t>AUSTIN,</w:t>
      </w:r>
      <w:r>
        <w:rPr>
          <w:spacing w:val="-9"/>
          <w:w w:val="115"/>
        </w:rPr>
        <w:t> </w:t>
      </w:r>
      <w:r>
        <w:rPr>
          <w:w w:val="115"/>
        </w:rPr>
        <w:t>TX APRIL 2019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122" w:space="1266"/>
            <w:col w:w="7966"/>
          </w:cols>
        </w:sectPr>
      </w:pPr>
    </w:p>
    <w:p>
      <w:pPr>
        <w:pStyle w:val="BodyText"/>
        <w:spacing w:line="468" w:lineRule="auto" w:before="102"/>
        <w:ind w:left="347" w:right="150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sophia.ramirez@email.com</w:t>
        </w:r>
      </w:hyperlink>
      <w:r>
        <w:rPr>
          <w:color w:val="424242"/>
          <w:spacing w:val="4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</w:rPr>
        <w:t>Austin, TX 73301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49443D"/>
          <w:w w:val="130"/>
        </w:rPr>
        <w:t>Key</w:t>
      </w:r>
      <w:r>
        <w:rPr>
          <w:rFonts w:ascii="Calibri"/>
          <w:color w:val="49443D"/>
          <w:spacing w:val="11"/>
          <w:w w:val="130"/>
        </w:rPr>
        <w:t> </w:t>
      </w:r>
      <w:r>
        <w:rPr>
          <w:rFonts w:ascii="Calibri"/>
          <w:color w:val="49443D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209" w:after="0"/>
        <w:ind w:left="646" w:right="129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400049</wp:posOffset>
                </wp:positionH>
                <wp:positionV relativeFrom="paragraph">
                  <wp:posOffset>217141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097740pt;width:6.0pt;height:3.75pt;mso-position-horizontal-relative:page;mso-position-vertical-relative:paragraph;z-index:15729664" id="docshape1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Hemodialysis and peritoneal dialysis administration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1" w:after="0"/>
        <w:ind w:left="646" w:right="0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400049</wp:posOffset>
                </wp:positionH>
                <wp:positionV relativeFrom="paragraph">
                  <wp:posOffset>119617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18688pt;width:6.0pt;height:3.75pt;mso-position-horizontal-relative:page;mso-position-vertical-relative:paragraph;z-index:-15777792" id="docshape2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Vascular access management (AV fistulas, grafts, catheters)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5" w:after="0"/>
        <w:ind w:left="646" w:right="57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121742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86057pt;width:6.0pt;height:3.75pt;mso-position-horizontal-relative:page;mso-position-vertical-relative:paragraph;z-index:-15777280" id="docshape3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Fluid and electrolyte balance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58" w:after="0"/>
        <w:ind w:left="646" w:right="555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9712">
                <wp:simplePos x="0" y="0"/>
                <wp:positionH relativeFrom="page">
                  <wp:posOffset>400049</wp:posOffset>
                </wp:positionH>
                <wp:positionV relativeFrom="paragraph">
                  <wp:posOffset>121328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53425pt;width:6.0pt;height:3.75pt;mso-position-horizontal-relative:page;mso-position-vertical-relative:paragraph;z-index:-15776768" id="docshape4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Anemia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medication </w:t>
      </w:r>
      <w:r>
        <w:rPr>
          <w:spacing w:val="-2"/>
          <w:w w:val="11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2" w:after="0"/>
        <w:ind w:left="646" w:right="32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119689</wp:posOffset>
                </wp:positionV>
                <wp:extent cx="76200" cy="3810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38100">
                              <a:moveTo>
                                <a:pt x="76199" y="38099"/>
                              </a:moveTo>
                              <a:lnTo>
                                <a:pt x="0" y="38099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424373pt;width:6.0pt;height:3.0pt;mso-position-horizontal-relative:page;mso-position-vertical-relative:paragraph;z-index:-15776256" id="docshape5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Patient education on renal disease and nutrition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04" w:lineRule="auto" w:before="74" w:after="0"/>
        <w:ind w:left="646" w:right="204" w:hanging="298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121180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944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41741pt;width:6.0pt;height:3.75pt;mso-position-horizontal-relative:page;mso-position-vertical-relative:paragraph;z-index:-15775744" id="docshape6" filled="true" fillcolor="#49443d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Coordination with nephrologists and dietitians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180" w:after="0"/>
        <w:ind w:left="590" w:right="166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Provide</w:t>
      </w:r>
      <w:r>
        <w:rPr>
          <w:spacing w:val="38"/>
          <w:sz w:val="18"/>
        </w:rPr>
        <w:t> </w:t>
      </w:r>
      <w:r>
        <w:rPr>
          <w:sz w:val="18"/>
        </w:rPr>
        <w:t>dialysis</w:t>
      </w:r>
      <w:r>
        <w:rPr>
          <w:spacing w:val="38"/>
          <w:sz w:val="18"/>
        </w:rPr>
        <w:t> </w:t>
      </w:r>
      <w:r>
        <w:rPr>
          <w:sz w:val="18"/>
        </w:rPr>
        <w:t>treatment</w:t>
      </w:r>
      <w:r>
        <w:rPr>
          <w:spacing w:val="38"/>
          <w:sz w:val="18"/>
        </w:rPr>
        <w:t> </w:t>
      </w:r>
      <w:r>
        <w:rPr>
          <w:sz w:val="18"/>
        </w:rPr>
        <w:t>for</w:t>
      </w:r>
      <w:r>
        <w:rPr>
          <w:spacing w:val="31"/>
          <w:sz w:val="18"/>
        </w:rPr>
        <w:t> </w:t>
      </w:r>
      <w:r>
        <w:rPr>
          <w:sz w:val="18"/>
        </w:rPr>
        <w:t>an</w:t>
      </w:r>
      <w:r>
        <w:rPr>
          <w:spacing w:val="38"/>
          <w:sz w:val="18"/>
        </w:rPr>
        <w:t> </w:t>
      </w:r>
      <w:r>
        <w:rPr>
          <w:sz w:val="18"/>
        </w:rPr>
        <w:t>average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1"/>
          <w:sz w:val="18"/>
        </w:rPr>
        <w:t> </w:t>
      </w:r>
      <w:r>
        <w:rPr>
          <w:sz w:val="18"/>
        </w:rPr>
        <w:t>12</w:t>
      </w:r>
      <w:r>
        <w:rPr>
          <w:spacing w:val="38"/>
          <w:sz w:val="18"/>
        </w:rPr>
        <w:t> </w:t>
      </w:r>
      <w:r>
        <w:rPr>
          <w:sz w:val="18"/>
        </w:rPr>
        <w:t>patients</w:t>
      </w:r>
      <w:r>
        <w:rPr>
          <w:spacing w:val="38"/>
          <w:sz w:val="18"/>
        </w:rPr>
        <w:t> </w:t>
      </w:r>
      <w:r>
        <w:rPr>
          <w:sz w:val="18"/>
        </w:rPr>
        <w:t>per</w:t>
      </w:r>
      <w:r>
        <w:rPr>
          <w:spacing w:val="31"/>
          <w:sz w:val="18"/>
        </w:rPr>
        <w:t> </w:t>
      </w:r>
      <w:r>
        <w:rPr>
          <w:sz w:val="18"/>
        </w:rPr>
        <w:t>shift,</w:t>
      </w:r>
      <w:r>
        <w:rPr>
          <w:spacing w:val="38"/>
          <w:sz w:val="18"/>
        </w:rPr>
        <w:t> </w:t>
      </w:r>
      <w:r>
        <w:rPr>
          <w:sz w:val="18"/>
        </w:rPr>
        <w:t>ensuring</w:t>
      </w:r>
      <w:r>
        <w:rPr>
          <w:spacing w:val="38"/>
          <w:sz w:val="18"/>
        </w:rPr>
        <w:t> </w:t>
      </w:r>
      <w:r>
        <w:rPr>
          <w:sz w:val="18"/>
        </w:rPr>
        <w:t>safe and</w:t>
      </w:r>
      <w:r>
        <w:rPr>
          <w:spacing w:val="40"/>
          <w:sz w:val="18"/>
        </w:rPr>
        <w:t> </w:t>
      </w:r>
      <w:r>
        <w:rPr>
          <w:sz w:val="18"/>
        </w:rPr>
        <w:t>effective</w:t>
      </w:r>
      <w:r>
        <w:rPr>
          <w:spacing w:val="40"/>
          <w:sz w:val="18"/>
        </w:rPr>
        <w:t> </w:t>
      </w:r>
      <w:r>
        <w:rPr>
          <w:sz w:val="18"/>
        </w:rPr>
        <w:t>fluid</w:t>
      </w:r>
      <w:r>
        <w:rPr>
          <w:spacing w:val="40"/>
          <w:sz w:val="18"/>
        </w:rPr>
        <w:t> </w:t>
      </w:r>
      <w:r>
        <w:rPr>
          <w:sz w:val="18"/>
        </w:rPr>
        <w:t>removal</w:t>
      </w:r>
      <w:r>
        <w:rPr>
          <w:spacing w:val="35"/>
          <w:sz w:val="18"/>
        </w:rPr>
        <w:t> </w:t>
      </w:r>
      <w:r>
        <w:rPr>
          <w:sz w:val="18"/>
        </w:rPr>
        <w:t>and</w:t>
      </w:r>
      <w:r>
        <w:rPr>
          <w:spacing w:val="35"/>
          <w:sz w:val="18"/>
        </w:rPr>
        <w:t> </w:t>
      </w:r>
      <w:r>
        <w:rPr>
          <w:sz w:val="18"/>
        </w:rPr>
        <w:t>waste</w:t>
      </w:r>
      <w:r>
        <w:rPr>
          <w:spacing w:val="40"/>
          <w:sz w:val="18"/>
        </w:rPr>
        <w:t> </w:t>
      </w:r>
      <w:r>
        <w:rPr>
          <w:sz w:val="18"/>
        </w:rPr>
        <w:t>filtration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40" w:after="0"/>
        <w:ind w:left="590" w:right="52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Monitor vascular access sites for complications, reducing catheter-related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enhanced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infection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measures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4" w:lineRule="auto" w:before="71" w:after="0"/>
        <w:ind w:left="590" w:right="55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Educate patients on dietary restrictions and fluid management, improving adherence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treatment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hospitalizations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 25%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59" w:after="0"/>
        <w:ind w:left="590" w:right="53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Assist nephrologists in adjusting treatment protocols based on patient lab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results, ensuring optimal dialysis outcomes</w:t>
      </w:r>
    </w:p>
    <w:p>
      <w:pPr>
        <w:pStyle w:val="BodyText"/>
        <w:spacing w:before="48"/>
      </w:pPr>
    </w:p>
    <w:p>
      <w:pPr>
        <w:pStyle w:val="BodyText"/>
        <w:spacing w:line="266" w:lineRule="auto"/>
        <w:ind w:left="51"/>
      </w:pPr>
      <w:r>
        <w:rPr>
          <w:w w:val="110"/>
        </w:rPr>
        <w:t>REGISTERED NURSE </w:t>
      </w:r>
      <w:r>
        <w:rPr>
          <w:w w:val="130"/>
        </w:rPr>
        <w:t>– </w:t>
      </w:r>
      <w:r>
        <w:rPr>
          <w:w w:val="110"/>
        </w:rPr>
        <w:t>INPATIENT DIALYSIS UNIT</w:t>
      </w:r>
      <w:r>
        <w:rPr>
          <w:spacing w:val="35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5"/>
          <w:w w:val="110"/>
          <w:position w:val="1"/>
        </w:rPr>
        <w:t> </w:t>
      </w:r>
      <w:r>
        <w:rPr>
          <w:w w:val="110"/>
        </w:rPr>
        <w:t>ST. DAVID’S MEDICAL CENTER, AUSTIN,</w:t>
      </w:r>
      <w:r>
        <w:rPr>
          <w:spacing w:val="-2"/>
          <w:w w:val="110"/>
        </w:rPr>
        <w:t> </w:t>
      </w:r>
      <w:r>
        <w:rPr>
          <w:w w:val="110"/>
        </w:rPr>
        <w:t>TX</w:t>
      </w:r>
    </w:p>
    <w:p>
      <w:pPr>
        <w:pStyle w:val="BodyText"/>
        <w:spacing w:before="8"/>
        <w:ind w:left="51"/>
      </w:pPr>
      <w:r>
        <w:rPr>
          <w:w w:val="115"/>
        </w:rPr>
        <w:t>JULY</w:t>
      </w:r>
      <w:r>
        <w:rPr>
          <w:spacing w:val="-16"/>
          <w:w w:val="115"/>
        </w:rPr>
        <w:t> </w:t>
      </w:r>
      <w:r>
        <w:rPr>
          <w:w w:val="115"/>
        </w:rPr>
        <w:t>2016</w:t>
      </w:r>
      <w:r>
        <w:rPr>
          <w:spacing w:val="-8"/>
          <w:w w:val="115"/>
        </w:rPr>
        <w:t> </w:t>
      </w:r>
      <w:r>
        <w:rPr>
          <w:w w:val="115"/>
        </w:rPr>
        <w:t>–</w:t>
      </w:r>
      <w:r>
        <w:rPr>
          <w:spacing w:val="-14"/>
          <w:w w:val="115"/>
        </w:rPr>
        <w:t> </w:t>
      </w:r>
      <w:r>
        <w:rPr>
          <w:w w:val="115"/>
        </w:rPr>
        <w:t>APRIL</w:t>
      </w:r>
      <w:r>
        <w:rPr>
          <w:spacing w:val="-13"/>
          <w:w w:val="115"/>
        </w:rPr>
        <w:t> </w:t>
      </w:r>
      <w:r>
        <w:rPr>
          <w:spacing w:val="-4"/>
          <w:w w:val="115"/>
        </w:rPr>
        <w:t>2019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3" w:lineRule="auto" w:before="196" w:after="0"/>
        <w:ind w:left="590" w:right="213" w:hanging="298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Delivered bedside hemodialysis treatments for critically ill patients in ICU and </w:t>
      </w:r>
      <w:r>
        <w:rPr>
          <w:w w:val="105"/>
          <w:sz w:val="18"/>
        </w:rPr>
        <w:t>step-down units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04" w:lineRule="auto" w:before="74" w:after="0"/>
        <w:ind w:left="590" w:right="727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Managed electrolyte imbalances and adjusted treatment parameters to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maintain patient stability during dialysis sessions</w:t>
      </w:r>
    </w:p>
    <w:p>
      <w:pPr>
        <w:pStyle w:val="ListParagraph"/>
        <w:numPr>
          <w:ilvl w:val="0"/>
          <w:numId w:val="1"/>
        </w:numPr>
        <w:tabs>
          <w:tab w:pos="588" w:val="left" w:leader="none"/>
          <w:tab w:pos="590" w:val="left" w:leader="none"/>
        </w:tabs>
        <w:spacing w:line="218" w:lineRule="auto" w:before="58" w:after="0"/>
        <w:ind w:left="590" w:right="62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Implemented a patient safety initiative that reduced hypotension-related complications during dialysis by 15%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3315" w:space="368"/>
            <w:col w:w="7671"/>
          </w:cols>
        </w:sectPr>
      </w:pPr>
    </w:p>
    <w:p>
      <w:pPr>
        <w:pStyle w:val="BodyText"/>
        <w:spacing w:before="92"/>
        <w:ind w:left="51"/>
        <w:rPr>
          <w:rFonts w:ascii="Calibri"/>
        </w:rPr>
      </w:pPr>
      <w:r>
        <w:rPr>
          <w:rFonts w:ascii="Calibri"/>
          <w:color w:val="49443D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18" w:lineRule="auto" w:before="1" w:after="0"/>
        <w:ind w:left="349" w:right="11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Trained</w:t>
      </w:r>
      <w:r>
        <w:rPr>
          <w:spacing w:val="40"/>
          <w:sz w:val="18"/>
        </w:rPr>
        <w:t> </w:t>
      </w:r>
      <w:r>
        <w:rPr>
          <w:sz w:val="18"/>
        </w:rPr>
        <w:t>new</w:t>
      </w:r>
      <w:r>
        <w:rPr>
          <w:spacing w:val="38"/>
          <w:sz w:val="18"/>
        </w:rPr>
        <w:t> </w:t>
      </w:r>
      <w:r>
        <w:rPr>
          <w:sz w:val="18"/>
        </w:rPr>
        <w:t>dialysis</w:t>
      </w:r>
      <w:r>
        <w:rPr>
          <w:spacing w:val="40"/>
          <w:sz w:val="18"/>
        </w:rPr>
        <w:t> </w:t>
      </w:r>
      <w:r>
        <w:rPr>
          <w:sz w:val="18"/>
        </w:rPr>
        <w:t>nurses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proper</w:t>
      </w:r>
      <w:r>
        <w:rPr>
          <w:spacing w:val="40"/>
          <w:sz w:val="18"/>
        </w:rPr>
        <w:t> </w:t>
      </w:r>
      <w:r>
        <w:rPr>
          <w:sz w:val="18"/>
        </w:rPr>
        <w:t>machine</w:t>
      </w:r>
      <w:r>
        <w:rPr>
          <w:spacing w:val="40"/>
          <w:sz w:val="18"/>
        </w:rPr>
        <w:t> </w:t>
      </w:r>
      <w:r>
        <w:rPr>
          <w:sz w:val="18"/>
        </w:rPr>
        <w:t>setup,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assessment,</w:t>
      </w:r>
      <w:r>
        <w:rPr>
          <w:spacing w:val="40"/>
          <w:sz w:val="18"/>
        </w:rPr>
        <w:t> </w:t>
      </w:r>
      <w:r>
        <w:rPr>
          <w:sz w:val="18"/>
        </w:rPr>
        <w:t>and </w:t>
      </w:r>
      <w:r>
        <w:rPr>
          <w:w w:val="110"/>
          <w:sz w:val="18"/>
        </w:rPr>
        <w:t>emergency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interventions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283"/>
          <w:cols w:num="2" w:equalWidth="0">
            <w:col w:w="1056" w:space="2869"/>
            <w:col w:w="7429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" w:after="0"/>
        <w:ind w:left="646" w:right="573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8591549"/>
                            <a:ext cx="5172710" cy="2113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113280">
                                <a:moveTo>
                                  <a:pt x="0" y="2113026"/>
                                </a:moveTo>
                                <a:lnTo>
                                  <a:pt x="5172110" y="211302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130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95549"/>
                            <a:ext cx="5168265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096000">
                                <a:moveTo>
                                  <a:pt x="5167883" y="6095999"/>
                                </a:moveTo>
                                <a:lnTo>
                                  <a:pt x="0" y="60959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09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52687" y="3467099"/>
                            <a:ext cx="228600" cy="4562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4562475">
                                <a:moveTo>
                                  <a:pt x="66675" y="4514850"/>
                                </a:moveTo>
                                <a:lnTo>
                                  <a:pt x="0" y="4514850"/>
                                </a:lnTo>
                                <a:lnTo>
                                  <a:pt x="0" y="4562475"/>
                                </a:lnTo>
                                <a:lnTo>
                                  <a:pt x="66675" y="4562475"/>
                                </a:lnTo>
                                <a:lnTo>
                                  <a:pt x="66675" y="4514850"/>
                                </a:lnTo>
                                <a:close/>
                              </a:path>
                              <a:path w="228600" h="4562475">
                                <a:moveTo>
                                  <a:pt x="66675" y="4305300"/>
                                </a:moveTo>
                                <a:lnTo>
                                  <a:pt x="0" y="4305300"/>
                                </a:lnTo>
                                <a:lnTo>
                                  <a:pt x="0" y="4352925"/>
                                </a:lnTo>
                                <a:lnTo>
                                  <a:pt x="66675" y="4352925"/>
                                </a:lnTo>
                                <a:lnTo>
                                  <a:pt x="66675" y="4305300"/>
                                </a:lnTo>
                                <a:close/>
                              </a:path>
                              <a:path w="228600" h="4562475">
                                <a:moveTo>
                                  <a:pt x="66675" y="3952875"/>
                                </a:moveTo>
                                <a:lnTo>
                                  <a:pt x="0" y="3952875"/>
                                </a:lnTo>
                                <a:lnTo>
                                  <a:pt x="0" y="4000500"/>
                                </a:lnTo>
                                <a:lnTo>
                                  <a:pt x="66675" y="4000500"/>
                                </a:lnTo>
                                <a:lnTo>
                                  <a:pt x="66675" y="3952875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3181350"/>
                                </a:moveTo>
                                <a:lnTo>
                                  <a:pt x="152400" y="3181350"/>
                                </a:lnTo>
                                <a:lnTo>
                                  <a:pt x="152400" y="3228975"/>
                                </a:lnTo>
                                <a:lnTo>
                                  <a:pt x="228600" y="3228975"/>
                                </a:lnTo>
                                <a:lnTo>
                                  <a:pt x="228600" y="3181350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2828925"/>
                                </a:moveTo>
                                <a:lnTo>
                                  <a:pt x="152400" y="2828925"/>
                                </a:lnTo>
                                <a:lnTo>
                                  <a:pt x="152400" y="2876550"/>
                                </a:lnTo>
                                <a:lnTo>
                                  <a:pt x="228600" y="2876550"/>
                                </a:lnTo>
                                <a:lnTo>
                                  <a:pt x="228600" y="2828925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2476500"/>
                                </a:moveTo>
                                <a:lnTo>
                                  <a:pt x="152400" y="2476500"/>
                                </a:lnTo>
                                <a:lnTo>
                                  <a:pt x="152400" y="2524125"/>
                                </a:lnTo>
                                <a:lnTo>
                                  <a:pt x="228600" y="2524125"/>
                                </a:lnTo>
                                <a:lnTo>
                                  <a:pt x="228600" y="2476500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2114550"/>
                                </a:moveTo>
                                <a:lnTo>
                                  <a:pt x="152400" y="2114550"/>
                                </a:lnTo>
                                <a:lnTo>
                                  <a:pt x="152400" y="2162175"/>
                                </a:lnTo>
                                <a:lnTo>
                                  <a:pt x="228600" y="2162175"/>
                                </a:lnTo>
                                <a:lnTo>
                                  <a:pt x="228600" y="2114550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1066800"/>
                                </a:moveTo>
                                <a:lnTo>
                                  <a:pt x="152400" y="1066800"/>
                                </a:lnTo>
                                <a:lnTo>
                                  <a:pt x="152400" y="1114425"/>
                                </a:lnTo>
                                <a:lnTo>
                                  <a:pt x="228600" y="1114425"/>
                                </a:lnTo>
                                <a:lnTo>
                                  <a:pt x="228600" y="1066800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714375"/>
                                </a:moveTo>
                                <a:lnTo>
                                  <a:pt x="152400" y="714375"/>
                                </a:lnTo>
                                <a:lnTo>
                                  <a:pt x="152400" y="762000"/>
                                </a:lnTo>
                                <a:lnTo>
                                  <a:pt x="228600" y="762000"/>
                                </a:lnTo>
                                <a:lnTo>
                                  <a:pt x="228600" y="714375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352425"/>
                                </a:moveTo>
                                <a:lnTo>
                                  <a:pt x="152400" y="352425"/>
                                </a:lnTo>
                                <a:lnTo>
                                  <a:pt x="152400" y="400050"/>
                                </a:lnTo>
                                <a:lnTo>
                                  <a:pt x="228600" y="400050"/>
                                </a:lnTo>
                                <a:lnTo>
                                  <a:pt x="228600" y="352425"/>
                                </a:lnTo>
                                <a:close/>
                              </a:path>
                              <a:path w="228600" h="4562475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9328" id="docshapegroup7" coordorigin="0,0" coordsize="11919,16858">
                <v:rect style="position:absolute;left:3773;top:13530;width:8146;height:3328" id="docshape8" filled="true" fillcolor="#49443d" stroked="false">
                  <v:fill opacity="32899f" type="solid"/>
                </v:rect>
                <v:rect style="position:absolute;left:0;top:0;width:11919;height:3930" id="docshape9" filled="true" fillcolor="#424242" stroked="false">
                  <v:fill type="solid"/>
                </v:rect>
                <v:rect style="position:absolute;left:3780;top:3930;width:8139;height:9600" id="docshape10" filled="true" fillcolor="#49443d" stroked="false">
                  <v:fill opacity="32899f" type="solid"/>
                </v:rect>
                <v:shape style="position:absolute;left:4019;top:5460;width:360;height:7185" id="docshape11" coordorigin="4020,5460" coordsize="360,7185" path="m4125,12570l4020,12570,4020,12645,4125,12645,4125,12570xm4125,12240l4020,12240,4020,12315,4125,12315,4125,12240xm4125,11685l4020,11685,4020,11760,4125,11760,4125,11685xm4380,10470l4260,10470,4260,10545,4380,10545,4380,10470xm4380,9915l4260,9915,4260,9990,4380,9990,4380,9915xm4380,9360l4260,9360,4260,9435,4380,9435,4380,9360xm4380,8790l4260,8790,4260,8865,4380,8865,4380,8790xm4380,7140l4260,7140,4260,7215,4380,7215,4380,7140xm4380,6585l4260,6585,4260,6660,4380,6660,4380,6585xm4380,6015l4260,6015,4260,6090,4380,6090,4380,6015xm4380,5460l4260,5460,4260,5535,4380,5535,4380,546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Bachelor of Science in Nursing (BSN)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/>
        <w:t>University of Texas at Austin, Austin, TX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2016</w:t>
      </w:r>
    </w:p>
    <w:p>
      <w:pPr>
        <w:pStyle w:val="BodyText"/>
        <w:spacing w:before="102"/>
      </w:pPr>
      <w:r>
        <w:rPr/>
        <w:br w:type="column"/>
      </w:r>
      <w:r>
        <w:rPr/>
      </w:r>
    </w:p>
    <w:p>
      <w:pPr>
        <w:pStyle w:val="BodyText"/>
        <w:ind w:left="349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BodyText"/>
        <w:spacing w:before="5"/>
        <w:rPr>
          <w:rFonts w:ascii="Calibri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0" w:after="0"/>
        <w:ind w:left="646" w:right="429" w:hanging="298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Dialysis</w:t>
      </w:r>
      <w:r>
        <w:rPr>
          <w:spacing w:val="40"/>
          <w:sz w:val="18"/>
        </w:rPr>
        <w:t> </w:t>
      </w:r>
      <w:r>
        <w:rPr>
          <w:sz w:val="18"/>
        </w:rPr>
        <w:t>Nurse</w:t>
      </w:r>
      <w:r>
        <w:rPr>
          <w:spacing w:val="40"/>
          <w:sz w:val="18"/>
        </w:rPr>
        <w:t> </w:t>
      </w:r>
      <w:r>
        <w:rPr>
          <w:sz w:val="18"/>
        </w:rPr>
        <w:t>(CDN),</w:t>
      </w:r>
      <w:r>
        <w:rPr>
          <w:spacing w:val="40"/>
          <w:sz w:val="18"/>
        </w:rPr>
        <w:t> </w:t>
      </w:r>
      <w:r>
        <w:rPr>
          <w:sz w:val="18"/>
        </w:rPr>
        <w:t>Nephrology</w:t>
      </w:r>
      <w:r>
        <w:rPr>
          <w:spacing w:val="37"/>
          <w:sz w:val="18"/>
        </w:rPr>
        <w:t> </w:t>
      </w:r>
      <w:r>
        <w:rPr>
          <w:sz w:val="18"/>
        </w:rPr>
        <w:t>Nursing</w:t>
      </w:r>
      <w:r>
        <w:rPr>
          <w:spacing w:val="40"/>
          <w:sz w:val="18"/>
        </w:rPr>
        <w:t> </w:t>
      </w:r>
      <w:r>
        <w:rPr>
          <w:sz w:val="18"/>
        </w:rPr>
        <w:t>Certification</w:t>
      </w:r>
      <w:r>
        <w:rPr>
          <w:spacing w:val="40"/>
          <w:sz w:val="18"/>
        </w:rPr>
        <w:t> </w:t>
      </w:r>
      <w:r>
        <w:rPr>
          <w:sz w:val="18"/>
        </w:rPr>
        <w:t>Commission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80"/>
          <w:sz w:val="18"/>
        </w:rPr>
        <w:t> </w:t>
      </w:r>
      <w:r>
        <w:rPr>
          <w:sz w:val="18"/>
        </w:rPr>
        <w:t>July 2016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36" w:after="0"/>
        <w:ind w:left="645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44"/>
          <w:sz w:val="18"/>
        </w:rPr>
        <w:t> </w:t>
      </w:r>
      <w:r>
        <w:rPr>
          <w:sz w:val="18"/>
        </w:rPr>
        <w:t>Life</w:t>
      </w:r>
      <w:r>
        <w:rPr>
          <w:spacing w:val="44"/>
          <w:sz w:val="18"/>
        </w:rPr>
        <w:t> </w:t>
      </w:r>
      <w:r>
        <w:rPr>
          <w:sz w:val="18"/>
        </w:rPr>
        <w:t>Support</w:t>
      </w:r>
      <w:r>
        <w:rPr>
          <w:spacing w:val="44"/>
          <w:sz w:val="18"/>
        </w:rPr>
        <w:t> </w:t>
      </w:r>
      <w:r>
        <w:rPr>
          <w:sz w:val="18"/>
        </w:rPr>
        <w:t>(BLS),</w:t>
      </w:r>
      <w:r>
        <w:rPr>
          <w:spacing w:val="35"/>
          <w:sz w:val="18"/>
        </w:rPr>
        <w:t> </w:t>
      </w:r>
      <w:r>
        <w:rPr>
          <w:sz w:val="18"/>
        </w:rPr>
        <w:t>American</w:t>
      </w:r>
      <w:r>
        <w:rPr>
          <w:spacing w:val="45"/>
          <w:sz w:val="18"/>
        </w:rPr>
        <w:t> </w:t>
      </w:r>
      <w:r>
        <w:rPr>
          <w:sz w:val="18"/>
        </w:rPr>
        <w:t>Heart</w:t>
      </w:r>
      <w:r>
        <w:rPr>
          <w:spacing w:val="35"/>
          <w:sz w:val="18"/>
        </w:rPr>
        <w:t> </w:t>
      </w:r>
      <w:r>
        <w:rPr>
          <w:sz w:val="18"/>
        </w:rPr>
        <w:t>Association</w:t>
      </w:r>
      <w:r>
        <w:rPr>
          <w:spacing w:val="44"/>
          <w:sz w:val="18"/>
        </w:rPr>
        <w:t> </w:t>
      </w:r>
      <w:r>
        <w:rPr>
          <w:w w:val="85"/>
          <w:sz w:val="18"/>
        </w:rPr>
        <w:t>|</w:t>
      </w:r>
      <w:r>
        <w:rPr>
          <w:spacing w:val="35"/>
          <w:sz w:val="18"/>
        </w:rPr>
        <w:t> </w:t>
      </w:r>
      <w:r>
        <w:rPr>
          <w:sz w:val="18"/>
        </w:rPr>
        <w:t>July</w:t>
      </w:r>
      <w:r>
        <w:rPr>
          <w:spacing w:val="35"/>
          <w:sz w:val="18"/>
        </w:rPr>
        <w:t> </w:t>
      </w:r>
      <w:r>
        <w:rPr>
          <w:spacing w:val="-4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spacing w:val="2"/>
          <w:sz w:val="18"/>
        </w:rPr>
        <w:t>Advanced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Cardiac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Life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Support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(ACLS),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American</w:t>
      </w:r>
      <w:r>
        <w:rPr>
          <w:spacing w:val="40"/>
          <w:sz w:val="18"/>
        </w:rPr>
        <w:t> </w:t>
      </w:r>
      <w:r>
        <w:rPr>
          <w:spacing w:val="2"/>
          <w:sz w:val="18"/>
        </w:rPr>
        <w:t>Heart</w:t>
      </w:r>
      <w:r>
        <w:rPr>
          <w:spacing w:val="31"/>
          <w:sz w:val="18"/>
        </w:rPr>
        <w:t> </w:t>
      </w:r>
      <w:r>
        <w:rPr>
          <w:spacing w:val="2"/>
          <w:sz w:val="18"/>
        </w:rPr>
        <w:t>Association</w:t>
      </w:r>
      <w:r>
        <w:rPr>
          <w:spacing w:val="40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July</w:t>
      </w:r>
      <w:r>
        <w:rPr>
          <w:spacing w:val="31"/>
          <w:sz w:val="18"/>
        </w:rPr>
        <w:t> </w:t>
      </w:r>
      <w:r>
        <w:rPr>
          <w:spacing w:val="-4"/>
          <w:sz w:val="18"/>
        </w:rPr>
        <w:t>2016</w:t>
      </w:r>
    </w:p>
    <w:sectPr>
      <w:type w:val="continuous"/>
      <w:pgSz w:w="11920" w:h="16860"/>
      <w:pgMar w:top="740" w:bottom="280" w:left="283" w:right="283"/>
      <w:cols w:num="2" w:equalWidth="0">
        <w:col w:w="3207" w:space="178"/>
        <w:col w:w="79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2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ophia.ramirez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2026-02-15T13:35:20Z</dcterms:created>
  <dcterms:modified xsi:type="dcterms:W3CDTF">2026-02-15T13:35:20Z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