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10"/>
        </w:rPr>
        <w:t>Logan</w:t>
      </w:r>
      <w:r>
        <w:rPr>
          <w:color w:val="FFFFFF"/>
          <w:spacing w:val="-31"/>
          <w:w w:val="110"/>
        </w:rPr>
        <w:t> </w:t>
      </w:r>
      <w:r>
        <w:rPr>
          <w:color w:val="FFFFFF"/>
          <w:spacing w:val="5"/>
          <w:w w:val="110"/>
        </w:rPr>
        <w:t>Hall</w:t>
      </w:r>
    </w:p>
    <w:p>
      <w:pPr>
        <w:pStyle w:val="Heading2"/>
      </w:pPr>
      <w:r>
        <w:rPr>
          <w:color w:val="FFFFFF"/>
          <w:spacing w:val="2"/>
          <w:w w:val="105"/>
        </w:rPr>
        <w:t>Compliance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-2"/>
          <w:w w:val="105"/>
        </w:rPr>
        <w:t>Intern</w: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122"/>
        <w:rPr>
          <w:rFonts w:ascii="Trebuchet MS"/>
          <w:b/>
        </w:rPr>
      </w:pPr>
    </w:p>
    <w:p>
      <w:pPr>
        <w:pStyle w:val="BodyText"/>
        <w:spacing w:line="278" w:lineRule="auto"/>
        <w:ind w:left="4273" w:right="176" w:hanging="1"/>
        <w:jc w:val="center"/>
      </w:pPr>
      <w:r>
        <w:rPr>
          <w:w w:val="125"/>
        </w:rPr>
        <w:t>Detail-oriented</w:t>
      </w:r>
      <w:r>
        <w:rPr>
          <w:spacing w:val="40"/>
          <w:w w:val="125"/>
        </w:rPr>
        <w:t> </w:t>
      </w:r>
      <w:r>
        <w:rPr>
          <w:w w:val="125"/>
        </w:rPr>
        <w:t>Compliance</w:t>
      </w:r>
      <w:r>
        <w:rPr>
          <w:spacing w:val="40"/>
          <w:w w:val="125"/>
        </w:rPr>
        <w:t> </w:t>
      </w:r>
      <w:r>
        <w:rPr>
          <w:w w:val="125"/>
        </w:rPr>
        <w:t>Intern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analyzing</w:t>
      </w:r>
      <w:r>
        <w:rPr>
          <w:spacing w:val="40"/>
          <w:w w:val="125"/>
        </w:rPr>
        <w:t> </w:t>
      </w:r>
      <w:r>
        <w:rPr>
          <w:w w:val="125"/>
        </w:rPr>
        <w:t>financial regulations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risk</w:t>
      </w:r>
      <w:r>
        <w:rPr>
          <w:spacing w:val="40"/>
          <w:w w:val="125"/>
        </w:rPr>
        <w:t> </w:t>
      </w:r>
      <w:r>
        <w:rPr>
          <w:w w:val="125"/>
        </w:rPr>
        <w:t>mitigation</w:t>
      </w:r>
      <w:r>
        <w:rPr>
          <w:spacing w:val="40"/>
          <w:w w:val="125"/>
        </w:rPr>
        <w:t> </w:t>
      </w:r>
      <w:r>
        <w:rPr>
          <w:w w:val="125"/>
        </w:rPr>
        <w:t>strategies.</w:t>
      </w:r>
      <w:r>
        <w:rPr>
          <w:spacing w:val="40"/>
          <w:w w:val="125"/>
        </w:rPr>
        <w:t> </w:t>
      </w:r>
      <w:r>
        <w:rPr>
          <w:w w:val="125"/>
        </w:rPr>
        <w:t>Supported</w:t>
      </w:r>
      <w:r>
        <w:rPr>
          <w:spacing w:val="40"/>
          <w:w w:val="125"/>
        </w:rPr>
        <w:t> </w:t>
      </w:r>
      <w:r>
        <w:rPr>
          <w:w w:val="125"/>
        </w:rPr>
        <w:t>corporate</w:t>
      </w:r>
      <w:r>
        <w:rPr>
          <w:spacing w:val="40"/>
          <w:w w:val="125"/>
        </w:rPr>
        <w:t> </w:t>
      </w:r>
      <w:r>
        <w:rPr>
          <w:w w:val="125"/>
        </w:rPr>
        <w:t>legal teams</w:t>
      </w:r>
      <w:r>
        <w:rPr>
          <w:spacing w:val="40"/>
          <w:w w:val="125"/>
        </w:rPr>
        <w:t> </w:t>
      </w:r>
      <w:r>
        <w:rPr>
          <w:w w:val="125"/>
        </w:rPr>
        <w:t>by</w:t>
      </w:r>
      <w:r>
        <w:rPr>
          <w:spacing w:val="40"/>
          <w:w w:val="125"/>
        </w:rPr>
        <w:t> </w:t>
      </w:r>
      <w:r>
        <w:rPr>
          <w:w w:val="125"/>
        </w:rPr>
        <w:t>reviewing</w:t>
      </w:r>
      <w:r>
        <w:rPr>
          <w:spacing w:val="40"/>
          <w:w w:val="125"/>
        </w:rPr>
        <w:t> </w:t>
      </w:r>
      <w:r>
        <w:rPr>
          <w:w w:val="125"/>
        </w:rPr>
        <w:t>internal</w:t>
      </w:r>
      <w:r>
        <w:rPr>
          <w:spacing w:val="40"/>
          <w:w w:val="125"/>
        </w:rPr>
        <w:t> </w:t>
      </w:r>
      <w:r>
        <w:rPr>
          <w:w w:val="125"/>
        </w:rPr>
        <w:t>procedures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regulatory</w:t>
      </w:r>
      <w:r>
        <w:rPr>
          <w:spacing w:val="40"/>
          <w:w w:val="125"/>
        </w:rPr>
        <w:t> </w:t>
      </w:r>
      <w:r>
        <w:rPr>
          <w:w w:val="125"/>
        </w:rPr>
        <w:t>documentation.</w:t>
      </w:r>
    </w:p>
    <w:p>
      <w:pPr>
        <w:pStyle w:val="BodyText"/>
        <w:ind w:left="4094"/>
        <w:jc w:val="center"/>
      </w:pPr>
      <w:r>
        <w:rPr>
          <w:w w:val="125"/>
        </w:rPr>
        <w:t>Skilled</w:t>
      </w:r>
      <w:r>
        <w:rPr>
          <w:spacing w:val="46"/>
          <w:w w:val="125"/>
        </w:rPr>
        <w:t> </w:t>
      </w:r>
      <w:r>
        <w:rPr>
          <w:w w:val="125"/>
        </w:rPr>
        <w:t>in</w:t>
      </w:r>
      <w:r>
        <w:rPr>
          <w:spacing w:val="47"/>
          <w:w w:val="125"/>
        </w:rPr>
        <w:t> </w:t>
      </w:r>
      <w:r>
        <w:rPr>
          <w:w w:val="125"/>
        </w:rPr>
        <w:t>synthesizing</w:t>
      </w:r>
      <w:r>
        <w:rPr>
          <w:spacing w:val="46"/>
          <w:w w:val="125"/>
        </w:rPr>
        <w:t> </w:t>
      </w:r>
      <w:r>
        <w:rPr>
          <w:w w:val="125"/>
        </w:rPr>
        <w:t>legal</w:t>
      </w:r>
      <w:r>
        <w:rPr>
          <w:spacing w:val="47"/>
          <w:w w:val="125"/>
        </w:rPr>
        <w:t> </w:t>
      </w:r>
      <w:r>
        <w:rPr>
          <w:w w:val="125"/>
        </w:rPr>
        <w:t>language</w:t>
      </w:r>
      <w:r>
        <w:rPr>
          <w:spacing w:val="46"/>
          <w:w w:val="125"/>
        </w:rPr>
        <w:t> </w:t>
      </w:r>
      <w:r>
        <w:rPr>
          <w:w w:val="125"/>
        </w:rPr>
        <w:t>into</w:t>
      </w:r>
      <w:r>
        <w:rPr>
          <w:spacing w:val="47"/>
          <w:w w:val="125"/>
        </w:rPr>
        <w:t> </w:t>
      </w:r>
      <w:r>
        <w:rPr>
          <w:w w:val="125"/>
        </w:rPr>
        <w:t>actionable</w:t>
      </w:r>
      <w:r>
        <w:rPr>
          <w:spacing w:val="46"/>
          <w:w w:val="125"/>
        </w:rPr>
        <w:t> </w:t>
      </w:r>
      <w:r>
        <w:rPr>
          <w:spacing w:val="-2"/>
          <w:w w:val="125"/>
        </w:rPr>
        <w:t>recommendations.</w:t>
      </w:r>
    </w:p>
    <w:p>
      <w:pPr>
        <w:pStyle w:val="BodyText"/>
        <w:spacing w:before="36"/>
        <w:ind w:left="4094"/>
        <w:jc w:val="center"/>
      </w:pPr>
      <w:r>
        <w:rPr>
          <w:w w:val="125"/>
        </w:rPr>
        <w:t>Interested</w:t>
      </w:r>
      <w:r>
        <w:rPr>
          <w:spacing w:val="25"/>
          <w:w w:val="125"/>
        </w:rPr>
        <w:t> </w:t>
      </w:r>
      <w:r>
        <w:rPr>
          <w:w w:val="125"/>
        </w:rPr>
        <w:t>in</w:t>
      </w:r>
      <w:r>
        <w:rPr>
          <w:spacing w:val="26"/>
          <w:w w:val="125"/>
        </w:rPr>
        <w:t> </w:t>
      </w:r>
      <w:r>
        <w:rPr>
          <w:w w:val="125"/>
        </w:rPr>
        <w:t>business</w:t>
      </w:r>
      <w:r>
        <w:rPr>
          <w:spacing w:val="26"/>
          <w:w w:val="125"/>
        </w:rPr>
        <w:t> </w:t>
      </w:r>
      <w:r>
        <w:rPr>
          <w:w w:val="125"/>
        </w:rPr>
        <w:t>law</w:t>
      </w:r>
      <w:r>
        <w:rPr>
          <w:spacing w:val="26"/>
          <w:w w:val="125"/>
        </w:rPr>
        <w:t> </w:t>
      </w:r>
      <w:r>
        <w:rPr>
          <w:w w:val="125"/>
        </w:rPr>
        <w:t>and</w:t>
      </w:r>
      <w:r>
        <w:rPr>
          <w:spacing w:val="26"/>
          <w:w w:val="125"/>
        </w:rPr>
        <w:t> </w:t>
      </w:r>
      <w:r>
        <w:rPr>
          <w:w w:val="125"/>
        </w:rPr>
        <w:t>corporate</w:t>
      </w:r>
      <w:r>
        <w:rPr>
          <w:spacing w:val="25"/>
          <w:w w:val="125"/>
        </w:rPr>
        <w:t> </w:t>
      </w:r>
      <w:r>
        <w:rPr>
          <w:spacing w:val="-2"/>
          <w:w w:val="125"/>
        </w:rPr>
        <w:t>ethics.</w:t>
      </w:r>
    </w:p>
    <w:p>
      <w:pPr>
        <w:pStyle w:val="BodyText"/>
        <w:spacing w:before="2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48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2A98DE"/>
          <w:spacing w:val="2"/>
          <w:w w:val="105"/>
          <w:sz w:val="15"/>
        </w:rPr>
        <w:t>PERSONAL</w:t>
      </w:r>
      <w:r>
        <w:rPr>
          <w:rFonts w:ascii="Trebuchet MS"/>
          <w:b/>
          <w:color w:val="2A98DE"/>
          <w:spacing w:val="15"/>
          <w:w w:val="105"/>
          <w:sz w:val="15"/>
        </w:rPr>
        <w:t> </w:t>
      </w:r>
      <w:r>
        <w:rPr>
          <w:rFonts w:ascii="Trebuchet MS"/>
          <w:b/>
          <w:color w:val="2A98DE"/>
          <w:spacing w:val="-2"/>
          <w:w w:val="105"/>
          <w:sz w:val="15"/>
        </w:rPr>
        <w:t>INFORMATION</w:t>
      </w:r>
    </w:p>
    <w:p>
      <w:pPr>
        <w:pStyle w:val="BodyText"/>
        <w:rPr>
          <w:rFonts w:ascii="Trebuchet MS"/>
          <w:b/>
          <w:sz w:val="15"/>
        </w:rPr>
      </w:pPr>
    </w:p>
    <w:p>
      <w:pPr>
        <w:pStyle w:val="BodyText"/>
        <w:spacing w:before="32"/>
        <w:rPr>
          <w:rFonts w:ascii="Trebuchet MS"/>
          <w:b/>
          <w:sz w:val="15"/>
        </w:rPr>
      </w:pPr>
    </w:p>
    <w:p>
      <w:pPr>
        <w:pStyle w:val="BodyText"/>
        <w:ind w:left="647"/>
      </w:pPr>
      <w:r>
        <w:rPr>
          <w:w w:val="125"/>
        </w:rPr>
        <w:t>(XXX)</w:t>
      </w:r>
      <w:r>
        <w:rPr>
          <w:spacing w:val="17"/>
          <w:w w:val="125"/>
        </w:rPr>
        <w:t> </w:t>
      </w:r>
      <w:r>
        <w:rPr>
          <w:w w:val="125"/>
        </w:rPr>
        <w:t>XXX-</w:t>
      </w:r>
      <w:r>
        <w:rPr>
          <w:spacing w:val="-4"/>
          <w:w w:val="125"/>
        </w:rPr>
        <w:t>XXXX</w:t>
      </w:r>
    </w:p>
    <w:p>
      <w:pPr>
        <w:pStyle w:val="BodyText"/>
        <w:spacing w:before="10"/>
      </w:pPr>
    </w:p>
    <w:p>
      <w:pPr>
        <w:pStyle w:val="BodyText"/>
        <w:spacing w:line="491" w:lineRule="auto"/>
        <w:ind w:left="647" w:right="35"/>
      </w:pPr>
      <w:hyperlink r:id="rId5">
        <w:r>
          <w:rPr>
            <w:spacing w:val="-2"/>
            <w:w w:val="120"/>
          </w:rPr>
          <w:t>email@email.com</w:t>
        </w:r>
      </w:hyperlink>
      <w:r>
        <w:rPr>
          <w:spacing w:val="-2"/>
          <w:w w:val="120"/>
        </w:rPr>
        <w:t> </w:t>
      </w:r>
      <w:r>
        <w:rPr>
          <w:w w:val="120"/>
        </w:rPr>
        <w:t>Resume Link </w:t>
      </w:r>
      <w:r>
        <w:rPr/>
        <w:t>| </w:t>
      </w:r>
      <w:r>
        <w:rPr>
          <w:w w:val="120"/>
        </w:rPr>
        <w:t>Portfolio Dallas, TX</w:t>
      </w:r>
    </w:p>
    <w:p>
      <w:pPr>
        <w:spacing w:before="150"/>
        <w:ind w:left="127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2A98DE"/>
          <w:w w:val="105"/>
          <w:sz w:val="15"/>
        </w:rPr>
        <w:t>KEY</w:t>
      </w:r>
      <w:r>
        <w:rPr>
          <w:rFonts w:ascii="Trebuchet MS"/>
          <w:b/>
          <w:color w:val="2A98DE"/>
          <w:spacing w:val="-2"/>
          <w:w w:val="105"/>
          <w:sz w:val="15"/>
        </w:rPr>
        <w:t> SKILLS</w:t>
      </w:r>
    </w:p>
    <w:p>
      <w:pPr>
        <w:pStyle w:val="BodyText"/>
        <w:spacing w:before="146"/>
        <w:rPr>
          <w:rFonts w:ascii="Trebuchet MS"/>
          <w:b/>
          <w:sz w:val="15"/>
        </w:rPr>
      </w:pPr>
    </w:p>
    <w:p>
      <w:pPr>
        <w:pStyle w:val="BodyText"/>
        <w:spacing w:line="379" w:lineRule="auto"/>
        <w:ind w:left="424" w:right="367"/>
      </w:pPr>
      <w:r>
        <w:rPr>
          <w:w w:val="130"/>
        </w:rPr>
        <w:t>Contract review Corporate</w:t>
      </w:r>
      <w:r>
        <w:rPr>
          <w:spacing w:val="-14"/>
          <w:w w:val="130"/>
        </w:rPr>
        <w:t> </w:t>
      </w:r>
      <w:r>
        <w:rPr>
          <w:w w:val="130"/>
        </w:rPr>
        <w:t>governance Data documentation Financial compliance Policy research Regulatory</w:t>
      </w:r>
      <w:r>
        <w:rPr>
          <w:spacing w:val="16"/>
          <w:w w:val="130"/>
        </w:rPr>
        <w:t> </w:t>
      </w:r>
      <w:r>
        <w:rPr>
          <w:w w:val="130"/>
        </w:rPr>
        <w:t>audits</w:t>
      </w:r>
      <w:r>
        <w:rPr>
          <w:spacing w:val="80"/>
          <w:w w:val="130"/>
        </w:rPr>
        <w:t> </w:t>
      </w:r>
      <w:r>
        <w:rPr>
          <w:w w:val="130"/>
        </w:rPr>
        <w:t>Risk</w:t>
      </w:r>
      <w:r>
        <w:rPr>
          <w:spacing w:val="16"/>
          <w:w w:val="130"/>
        </w:rPr>
        <w:t> </w:t>
      </w:r>
      <w:r>
        <w:rPr>
          <w:w w:val="130"/>
        </w:rPr>
        <w:t>management</w:t>
      </w:r>
      <w:r>
        <w:rPr>
          <w:spacing w:val="80"/>
          <w:w w:val="130"/>
        </w:rPr>
        <w:t> </w:t>
      </w:r>
      <w:r>
        <w:rPr>
          <w:w w:val="130"/>
        </w:rPr>
        <w:t>SEC guidelines</w:t>
      </w:r>
    </w:p>
    <w:p>
      <w:pPr>
        <w:spacing w:before="99"/>
        <w:ind w:left="127" w:right="0" w:firstLine="0"/>
        <w:jc w:val="left"/>
        <w:rPr>
          <w:rFonts w:ascii="Trebuchet MS"/>
          <w:b/>
          <w:sz w:val="15"/>
        </w:rPr>
      </w:pPr>
      <w:r>
        <w:rPr/>
        <w:br w:type="column"/>
      </w:r>
      <w:r>
        <w:rPr>
          <w:rFonts w:ascii="Trebuchet MS"/>
          <w:b/>
          <w:color w:val="2A98DE"/>
          <w:spacing w:val="2"/>
          <w:w w:val="105"/>
          <w:sz w:val="15"/>
        </w:rPr>
        <w:t>PROFESSIONAL</w:t>
      </w:r>
      <w:r>
        <w:rPr>
          <w:rFonts w:ascii="Trebuchet MS"/>
          <w:b/>
          <w:color w:val="2A98DE"/>
          <w:spacing w:val="23"/>
          <w:w w:val="105"/>
          <w:sz w:val="15"/>
        </w:rPr>
        <w:t> </w:t>
      </w:r>
      <w:r>
        <w:rPr>
          <w:rFonts w:ascii="Trebuchet MS"/>
          <w:b/>
          <w:color w:val="2A98DE"/>
          <w:spacing w:val="-2"/>
          <w:w w:val="105"/>
          <w:sz w:val="15"/>
        </w:rPr>
        <w:t>EXPERIENCE</w:t>
      </w:r>
    </w:p>
    <w:p>
      <w:pPr>
        <w:pStyle w:val="BodyText"/>
        <w:spacing w:before="26"/>
        <w:rPr>
          <w:rFonts w:ascii="Trebuchet MS"/>
          <w:b/>
          <w:sz w:val="15"/>
        </w:rPr>
      </w:pPr>
    </w:p>
    <w:p>
      <w:pPr>
        <w:pStyle w:val="BodyText"/>
        <w:spacing w:line="278" w:lineRule="auto"/>
        <w:ind w:left="684" w:right="1129"/>
      </w:pPr>
      <w:r>
        <w:rPr>
          <w:w w:val="125"/>
        </w:rPr>
        <w:t>Compliance Intern, Cedarview Capital Group, Dallas, TX May 2024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August 2024</w:t>
      </w:r>
    </w:p>
    <w:p>
      <w:pPr>
        <w:pStyle w:val="BodyText"/>
        <w:spacing w:line="261" w:lineRule="auto" w:before="196"/>
        <w:ind w:left="963" w:right="492"/>
      </w:pPr>
      <w:r>
        <w:rPr>
          <w:w w:val="125"/>
        </w:rPr>
        <w:t>Assisted</w:t>
      </w:r>
      <w:r>
        <w:rPr>
          <w:spacing w:val="39"/>
          <w:w w:val="125"/>
        </w:rPr>
        <w:t> </w:t>
      </w:r>
      <w:r>
        <w:rPr>
          <w:w w:val="125"/>
        </w:rPr>
        <w:t>legal</w:t>
      </w:r>
      <w:r>
        <w:rPr>
          <w:spacing w:val="39"/>
          <w:w w:val="125"/>
        </w:rPr>
        <w:t> </w:t>
      </w:r>
      <w:r>
        <w:rPr>
          <w:w w:val="125"/>
        </w:rPr>
        <w:t>and</w:t>
      </w:r>
      <w:r>
        <w:rPr>
          <w:spacing w:val="39"/>
          <w:w w:val="125"/>
        </w:rPr>
        <w:t> </w:t>
      </w:r>
      <w:r>
        <w:rPr>
          <w:w w:val="125"/>
        </w:rPr>
        <w:t>compliance</w:t>
      </w:r>
      <w:r>
        <w:rPr>
          <w:spacing w:val="39"/>
          <w:w w:val="125"/>
        </w:rPr>
        <w:t> </w:t>
      </w:r>
      <w:r>
        <w:rPr>
          <w:w w:val="125"/>
        </w:rPr>
        <w:t>teams</w:t>
      </w:r>
      <w:r>
        <w:rPr>
          <w:spacing w:val="39"/>
          <w:w w:val="125"/>
        </w:rPr>
        <w:t> </w:t>
      </w:r>
      <w:r>
        <w:rPr>
          <w:w w:val="125"/>
        </w:rPr>
        <w:t>in</w:t>
      </w:r>
      <w:r>
        <w:rPr>
          <w:spacing w:val="39"/>
          <w:w w:val="125"/>
        </w:rPr>
        <w:t> </w:t>
      </w:r>
      <w:r>
        <w:rPr>
          <w:w w:val="125"/>
        </w:rPr>
        <w:t>reviewing</w:t>
      </w:r>
      <w:r>
        <w:rPr>
          <w:spacing w:val="39"/>
          <w:w w:val="125"/>
        </w:rPr>
        <w:t> </w:t>
      </w:r>
      <w:r>
        <w:rPr>
          <w:w w:val="125"/>
        </w:rPr>
        <w:t>internal controls and investor disclosures</w:t>
      </w:r>
    </w:p>
    <w:p>
      <w:pPr>
        <w:pStyle w:val="BodyText"/>
        <w:spacing w:line="278" w:lineRule="auto" w:before="121"/>
        <w:ind w:left="963" w:right="1129"/>
      </w:pPr>
      <w:r>
        <w:rPr>
          <w:w w:val="130"/>
        </w:rPr>
        <w:t>Drafted summaries of SEC regulatory updates for the compliance manual</w:t>
      </w:r>
    </w:p>
    <w:p>
      <w:pPr>
        <w:pStyle w:val="BodyText"/>
        <w:spacing w:line="278" w:lineRule="auto" w:before="90"/>
        <w:ind w:left="963" w:right="492"/>
      </w:pPr>
      <w:r>
        <w:rPr>
          <w:w w:val="125"/>
        </w:rPr>
        <w:t>Supported risk officers during quarterly audit reviews and</w:t>
      </w:r>
      <w:r>
        <w:rPr>
          <w:spacing w:val="80"/>
          <w:w w:val="125"/>
        </w:rPr>
        <w:t> </w:t>
      </w:r>
      <w:r>
        <w:rPr>
          <w:w w:val="125"/>
        </w:rPr>
        <w:t>policy updates</w:t>
      </w:r>
    </w:p>
    <w:p>
      <w:pPr>
        <w:pStyle w:val="BodyText"/>
        <w:spacing w:line="278" w:lineRule="auto" w:before="180"/>
        <w:ind w:left="684" w:right="1466"/>
      </w:pPr>
      <w:r>
        <w:rPr>
          <w:w w:val="125"/>
        </w:rPr>
        <w:t>Legal Research Intern, Dallas Business Law Clinic</w:t>
      </w:r>
      <w:r>
        <w:rPr>
          <w:spacing w:val="80"/>
          <w:w w:val="125"/>
        </w:rPr>
        <w:t> </w:t>
      </w:r>
      <w:r>
        <w:rPr>
          <w:w w:val="125"/>
        </w:rPr>
        <w:t>January 2023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December 2023</w:t>
      </w:r>
    </w:p>
    <w:p>
      <w:pPr>
        <w:pStyle w:val="BodyText"/>
        <w:spacing w:line="278" w:lineRule="auto" w:before="180"/>
        <w:ind w:left="963" w:right="492"/>
      </w:pPr>
      <w:r>
        <w:rPr>
          <w:w w:val="125"/>
        </w:rPr>
        <w:t>Reviewed contracts and prepared brief summaries for small</w:t>
      </w:r>
      <w:r>
        <w:rPr>
          <w:spacing w:val="80"/>
          <w:w w:val="125"/>
        </w:rPr>
        <w:t> </w:t>
      </w:r>
      <w:r>
        <w:rPr>
          <w:w w:val="125"/>
        </w:rPr>
        <w:t>business clients</w:t>
      </w:r>
    </w:p>
    <w:p>
      <w:pPr>
        <w:pStyle w:val="BodyText"/>
        <w:spacing w:line="278" w:lineRule="auto" w:before="90"/>
        <w:ind w:left="963" w:right="492"/>
      </w:pPr>
      <w:r>
        <w:rPr>
          <w:w w:val="130"/>
        </w:rPr>
        <w:t>Conducted research on employment law and business licensing regulations</w:t>
      </w:r>
    </w:p>
    <w:p>
      <w:pPr>
        <w:pStyle w:val="BodyText"/>
        <w:spacing w:line="278" w:lineRule="auto" w:before="91"/>
        <w:ind w:left="963" w:right="492"/>
      </w:pPr>
      <w:r>
        <w:rPr>
          <w:w w:val="130"/>
        </w:rPr>
        <w:t>Supported attorneys during client consultations by taking detailed notes</w:t>
      </w:r>
    </w:p>
    <w:p>
      <w:pPr>
        <w:pStyle w:val="BodyText"/>
        <w:spacing w:before="81"/>
      </w:pPr>
    </w:p>
    <w:p>
      <w:pPr>
        <w:spacing w:before="0"/>
        <w:ind w:left="127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2A98DE"/>
          <w:spacing w:val="-2"/>
          <w:w w:val="105"/>
          <w:sz w:val="15"/>
        </w:rPr>
        <w:t>REFERENCES</w:t>
      </w:r>
    </w:p>
    <w:p>
      <w:pPr>
        <w:spacing w:after="0"/>
        <w:jc w:val="left"/>
        <w:rPr>
          <w:rFonts w:ascii="Trebuchet MS"/>
          <w:b/>
          <w:sz w:val="15"/>
        </w:rPr>
        <w:sectPr>
          <w:type w:val="continuous"/>
          <w:pgSz w:w="11920" w:h="16860"/>
          <w:pgMar w:top="920" w:bottom="280" w:left="283" w:right="283"/>
          <w:cols w:num="2" w:equalWidth="0">
            <w:col w:w="2926" w:space="1185"/>
            <w:col w:w="7243"/>
          </w:cols>
        </w:sectPr>
      </w:pPr>
    </w:p>
    <w:p>
      <w:pPr>
        <w:pStyle w:val="BodyText"/>
        <w:spacing w:before="19"/>
        <w:rPr>
          <w:rFonts w:ascii="Trebuchet MS"/>
          <w:b/>
          <w:sz w:val="15"/>
        </w:rPr>
      </w:pPr>
      <w:r>
        <w:rPr>
          <w:rFonts w:ascii="Trebuchet MS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505437"/>
                                </a:moveTo>
                                <a:lnTo>
                                  <a:pt x="0" y="55054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505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238737"/>
                                </a:lnTo>
                                <a:lnTo>
                                  <a:pt x="2581262" y="52387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153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267074"/>
                            <a:ext cx="21907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95600">
                                <a:moveTo>
                                  <a:pt x="47625" y="1664360"/>
                                </a:moveTo>
                                <a:lnTo>
                                  <a:pt x="31102" y="1647825"/>
                                </a:lnTo>
                                <a:lnTo>
                                  <a:pt x="16535" y="1647825"/>
                                </a:lnTo>
                                <a:lnTo>
                                  <a:pt x="0" y="1664360"/>
                                </a:lnTo>
                                <a:lnTo>
                                  <a:pt x="0" y="1666875"/>
                                </a:lnTo>
                                <a:lnTo>
                                  <a:pt x="0" y="1669402"/>
                                </a:lnTo>
                                <a:lnTo>
                                  <a:pt x="16535" y="1685925"/>
                                </a:lnTo>
                                <a:lnTo>
                                  <a:pt x="31102" y="1685925"/>
                                </a:lnTo>
                                <a:lnTo>
                                  <a:pt x="47625" y="1669402"/>
                                </a:lnTo>
                                <a:lnTo>
                                  <a:pt x="47625" y="1664360"/>
                                </a:lnTo>
                                <a:close/>
                              </a:path>
                              <a:path w="21907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0;top:2610;width:4065;height:14250" id="docshape2" coordorigin="0,2610" coordsize="4065,14250" path="m4065,11280l0,11280,0,16860,4065,16860,4065,11280xm4065,7800l0,7800,0,10860,4065,1086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a98de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5;top:6426;width:317;height:274" type="#_x0000_t75" id="docshape11" stroked="false">
                  <v:imagedata r:id="rId9" o:title=""/>
                </v:shape>
                <v:shape style="position:absolute;left:406;top:6855;width:315;height:317" type="#_x0000_t75" id="docshape12" stroked="false">
                  <v:imagedata r:id="rId10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2505" id="docshape16" coordorigin="405,8070" coordsize="75,2505" path="m480,10532l479,10527,475,10518,473,10514,466,10507,462,10505,453,10501,448,10500,437,10500,432,10501,423,10505,419,10507,412,10514,410,10518,406,10527,405,10532,405,10538,405,10543,406,10548,410,10557,412,10561,419,10568,423,10570,432,10574,437,10575,448,10575,453,10574,462,10570,466,10568,473,10561,475,10557,479,10548,480,10543,480,10532xm480,10187l479,10182,475,10173,473,10169,466,10162,462,10160,453,10156,448,10155,437,10155,432,10156,423,10160,419,10162,412,10169,410,10173,406,10182,405,10187,405,10193,405,10198,406,10203,410,10212,412,10216,419,10223,423,10225,432,10229,437,10230,448,10230,453,10229,462,10225,466,10223,473,10216,475,10212,479,10203,480,10198,480,10187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860;width:4245;height:420" id="docshape17" filled="true" fillcolor="#f2f2f2" stroked="false">
                  <v:fill type="solid"/>
                </v:rect>
                <v:shape style="position:absolute;left:0;top:10860;width:4245;height:420" id="docshape18" coordorigin="0,10860" coordsize="4245,420" path="m4245,10860l4230,10860,0,10860,0,10875,4230,10875,4230,11265,0,11265,0,11280,4230,11280,4245,11280,4245,10860xe" filled="true" fillcolor="#000000" stroked="false">
                  <v:path arrowok="t"/>
                  <v:fill opacity="16960f" type="solid"/>
                </v:shape>
                <v:shape style="position:absolute;left:4065;top:11265;width:180;height:315" id="docshape19" coordorigin="4065,11265" coordsize="180,315" path="m4065,11580l4065,11265,4245,11265,4065,11580xe" filled="true" fillcolor="#999999" stroked="false">
                  <v:path arrowok="t"/>
                  <v:fill type="solid"/>
                </v:shape>
                <v:shape style="position:absolute;left:4784;top:5145;width:345;height:4560" id="docshape20" coordorigin="4785,5145" coordsize="345,4560" path="m4860,7766l4859,7762,4856,7755,4854,7752,4848,7746,4845,7744,4838,7741,4834,7740,4811,7740,4807,7741,4800,7744,4797,7746,4791,7752,4789,7755,4786,7762,4785,7766,4785,7770,4785,7774,4786,7778,4789,7785,4791,7788,4797,7794,4800,7796,4807,7799,4811,7800,4834,7800,4838,7799,4845,7796,4848,7794,4854,7788,4856,7785,4859,7778,4860,7774,4860,7766xm4860,5177l4859,5172,4855,5163,4853,5159,4846,5152,4842,5150,4833,5146,4828,5145,4817,5145,4812,5146,4803,5150,4799,5152,4792,5159,4790,5163,4786,5172,4785,5177,4785,5183,4785,5188,4786,5193,4790,5202,4792,5206,4799,5213,4803,5215,4812,5219,4817,5220,4828,5220,4833,5219,4842,5215,4846,5213,4853,5206,4855,5202,4859,5193,4860,5188,4860,5177xm5130,9662l5129,9657,5125,9648,5123,9644,5116,9637,5112,9635,5103,9631,5098,9630,5087,9630,5082,9631,5073,9635,5069,9637,5062,9644,5060,9648,5056,9657,5055,9662,5055,9668,5055,9673,5056,9678,5060,9687,5062,9691,5069,9698,5073,9700,5082,9704,5087,9705,5098,9705,5103,9704,5112,9700,5116,9698,5123,9691,5125,9687,5129,9678,5130,9673,5130,9662xm5130,9062l5129,9057,5125,9048,5123,9044,5116,9037,5112,9035,5103,9031,5098,9030,5087,9030,5082,9031,5073,9035,5069,9037,5062,9044,5060,9048,5056,9057,5055,9062,5055,9068,5055,9073,5056,9078,5060,9087,5062,9091,5069,9098,5073,9100,5082,9104,5087,9105,5098,9105,5103,9104,5112,9100,5116,9098,5123,9091,5125,9087,5129,9078,5130,9073,5130,9062xm5130,8462l5129,8457,5125,8448,5123,8444,5116,8437,5112,8435,5103,8431,5098,8430,5087,8430,5082,8431,5073,8435,5069,8437,5062,8444,5060,8448,5056,8457,5055,8462,5055,8468,5055,8473,5056,8478,5060,8487,5062,8491,5069,8498,5073,8500,5082,8504,5087,8505,5098,8505,5103,8504,5112,8500,5116,8498,5123,8491,5125,8487,5129,8478,5130,8473,5130,8462xm5130,7067l5129,7062,5125,7053,5123,7049,5116,7042,5112,7040,5103,7036,5098,7035,5087,7035,5082,7036,5073,7040,5069,7042,5062,7049,5060,7053,5056,7062,5055,7067,5055,7073,5055,7078,5056,7083,5060,7092,5062,7096,5069,7103,5073,7105,5082,7109,5087,7110,5098,7110,5103,7109,5112,7105,5116,7103,5123,7096,5125,7092,5129,7083,5130,7078,5130,7067xm5130,6467l5129,6462,5125,6453,5123,6449,5116,6442,5112,6440,5103,6436,5098,6435,5087,6435,5082,6436,5073,6440,5069,6442,5062,6449,5060,6453,5056,6462,5055,6467,5055,6473,5055,6478,5056,6483,5060,6492,5062,6496,5069,6503,5073,6505,5082,6509,5087,6510,5098,6510,5103,6509,5112,6505,5116,6503,5123,6496,5125,6492,5129,6483,5130,6478,5130,6467xm5130,5867l5129,5862,5125,5853,5123,5849,5116,5842,5112,5840,5103,5836,5098,5835,5087,5835,5082,5836,5073,5840,5069,5842,5062,5849,5060,5853,5056,5862,5055,5867,5055,5873,5055,5878,5056,5883,5060,5892,5062,5896,5069,5903,5073,5905,5082,5909,5087,5910,5098,5910,5103,5909,5112,5905,5116,5903,5123,5896,5125,5892,5129,5883,5130,5878,5130,58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Trebuchet MS"/>
          <w:b/>
          <w:sz w:val="15"/>
        </w:rPr>
      </w:pPr>
      <w:r>
        <w:rPr>
          <w:rFonts w:ascii="Trebuchet MS"/>
          <w:b/>
          <w:color w:val="2A98DE"/>
          <w:spacing w:val="-2"/>
          <w:w w:val="105"/>
          <w:sz w:val="15"/>
        </w:rPr>
        <w:t>EDUCATION</w:t>
      </w:r>
    </w:p>
    <w:p>
      <w:pPr>
        <w:pStyle w:val="BodyText"/>
        <w:spacing w:before="111"/>
        <w:rPr>
          <w:rFonts w:ascii="Trebuchet MS"/>
          <w:b/>
        </w:rPr>
      </w:pPr>
    </w:p>
    <w:p>
      <w:pPr>
        <w:pStyle w:val="BodyText"/>
        <w:spacing w:line="278" w:lineRule="auto"/>
        <w:ind w:left="127" w:right="8063"/>
      </w:pPr>
      <w:r>
        <w:rPr>
          <w:w w:val="125"/>
        </w:rPr>
        <w:t>Bachelor of Business Administration in Finance Southern Methodist University May 2023</w:t>
      </w:r>
    </w:p>
    <w:sectPr>
      <w:type w:val="continuous"/>
      <w:pgSz w:w="11920" w:h="16860"/>
      <w:pgMar w:top="9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3772"/>
      <w:outlineLvl w:val="1"/>
    </w:pPr>
    <w:rPr>
      <w:rFonts w:ascii="Trebuchet MS" w:hAnsi="Trebuchet MS" w:eastAsia="Trebuchet MS" w:cs="Trebuchet MS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0"/>
      <w:ind w:left="3772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2026-02-13T15:23:35Z</dcterms:created>
  <dcterms:modified xsi:type="dcterms:W3CDTF">2026-02-13T15:23:35Z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