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  <w:spacing w:before="121"/>
        <w:ind w:left="448"/>
      </w:pPr>
      <w:r>
        <w:rPr>
          <w:color w:val="FFFFFF"/>
          <w:w w:val="130"/>
        </w:rPr>
        <w:t>Corporate</w:t>
      </w:r>
      <w:r>
        <w:rPr>
          <w:color w:val="FFFFFF"/>
          <w:spacing w:val="25"/>
          <w:w w:val="130"/>
        </w:rPr>
        <w:t> </w:t>
      </w:r>
      <w:r>
        <w:rPr>
          <w:color w:val="FFFFFF"/>
          <w:w w:val="130"/>
        </w:rPr>
        <w:t>Strategy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line="271" w:lineRule="auto" w:before="146"/>
        <w:ind w:left="448" w:right="949" w:firstLine="0"/>
        <w:jc w:val="both"/>
        <w:rPr>
          <w:sz w:val="16"/>
        </w:rPr>
      </w:pPr>
      <w:r>
        <w:rPr>
          <w:color w:val="FFFFFF"/>
          <w:w w:val="105"/>
          <w:sz w:val="16"/>
        </w:rPr>
        <w:t>Corporate Strategy Manager with 7 years of experience developing long-term growth plans and guiding market entry initiatives. Skilled in competitive analysis, cross-functional collaboration, and financial modeling. Known for delivering strategies that boost market share and profitability.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</w:pPr>
      <w:r>
        <w:rPr>
          <w:color w:val="A2B8DE"/>
          <w:spacing w:val="2"/>
          <w:w w:val="130"/>
        </w:rPr>
        <w:t>PERSONAL</w:t>
      </w:r>
      <w:r>
        <w:rPr>
          <w:color w:val="A2B8DE"/>
          <w:spacing w:val="57"/>
          <w:w w:val="130"/>
        </w:rPr>
        <w:t> </w:t>
      </w:r>
      <w:r>
        <w:rPr>
          <w:color w:val="A2B8DE"/>
          <w:spacing w:val="-2"/>
          <w:w w:val="130"/>
        </w:rPr>
        <w:t>INFORMATION</w:t>
      </w:r>
    </w:p>
    <w:p>
      <w:pPr>
        <w:pStyle w:val="BodyText"/>
        <w:spacing w:before="162"/>
        <w:rPr>
          <w:rFonts w:ascii="Calibri"/>
          <w:b/>
        </w:rPr>
      </w:pPr>
    </w:p>
    <w:p>
      <w:pPr>
        <w:pStyle w:val="BodyText"/>
        <w:spacing w:before="1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line="93" w:lineRule="exact" w:before="1"/>
        <w:ind w:left="802"/>
      </w:pPr>
      <w:hyperlink r:id="rId5">
        <w:r>
          <w:rPr>
            <w:color w:val="424242"/>
            <w:spacing w:val="-2"/>
            <w:w w:val="105"/>
          </w:rPr>
          <w:t>devon.young@email.com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A2B8DE"/>
          <w:w w:val="135"/>
        </w:rPr>
        <w:t>PROFESSIONAL</w:t>
      </w:r>
      <w:r>
        <w:rPr>
          <w:color w:val="A2B8DE"/>
          <w:spacing w:val="45"/>
          <w:w w:val="135"/>
        </w:rPr>
        <w:t> </w:t>
      </w:r>
      <w:r>
        <w:rPr>
          <w:color w:val="A2B8DE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/>
        <w:ind w:left="225" w:right="102"/>
      </w:pP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STRATEGY</w:t>
      </w:r>
      <w:r>
        <w:rPr>
          <w:spacing w:val="33"/>
          <w:w w:val="105"/>
        </w:rPr>
        <w:t> </w:t>
      </w:r>
      <w:r>
        <w:rPr>
          <w:w w:val="105"/>
        </w:rPr>
        <w:t>MANAGER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HORIZON</w:t>
      </w:r>
      <w:r>
        <w:rPr>
          <w:spacing w:val="40"/>
          <w:w w:val="105"/>
        </w:rPr>
        <w:t> </w:t>
      </w:r>
      <w:r>
        <w:rPr>
          <w:w w:val="105"/>
        </w:rPr>
        <w:t>INNOVATIONS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SAN</w:t>
      </w:r>
      <w:r>
        <w:rPr>
          <w:spacing w:val="40"/>
          <w:w w:val="105"/>
        </w:rPr>
        <w:t> </w:t>
      </w:r>
      <w:r>
        <w:rPr>
          <w:w w:val="105"/>
        </w:rPr>
        <w:t>DIEGO,</w:t>
      </w:r>
      <w:r>
        <w:rPr>
          <w:spacing w:val="40"/>
          <w:w w:val="105"/>
        </w:rPr>
        <w:t> </w:t>
      </w:r>
      <w:r>
        <w:rPr>
          <w:spacing w:val="-6"/>
          <w:w w:val="105"/>
        </w:rPr>
        <w:t>CA</w:t>
      </w:r>
    </w:p>
    <w:p>
      <w:pPr>
        <w:pStyle w:val="BodyText"/>
        <w:spacing w:line="202" w:lineRule="exact"/>
        <w:ind w:left="225"/>
      </w:pPr>
      <w:r>
        <w:rPr>
          <w:w w:val="115"/>
        </w:rPr>
        <w:t>SEPTEMBER</w:t>
      </w:r>
      <w:r>
        <w:rPr>
          <w:spacing w:val="11"/>
          <w:w w:val="115"/>
        </w:rPr>
        <w:t> </w:t>
      </w:r>
      <w:r>
        <w:rPr>
          <w:w w:val="115"/>
        </w:rPr>
        <w:t>2018</w:t>
      </w:r>
      <w:r>
        <w:rPr>
          <w:spacing w:val="12"/>
          <w:w w:val="115"/>
        </w:rPr>
        <w:t> </w:t>
      </w:r>
      <w:r>
        <w:rPr>
          <w:w w:val="115"/>
        </w:rPr>
        <w:t>–</w:t>
      </w:r>
      <w:r>
        <w:rPr>
          <w:spacing w:val="12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60" w:bottom="280" w:left="425" w:right="708"/>
          <w:cols w:num="2" w:equalWidth="0">
            <w:col w:w="2944" w:space="813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27" w:after="0"/>
        <w:ind w:left="1099" w:right="26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Designed and implemented a 5-year growth strategy that increased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market share by 18% in targeted regions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4" w:after="0"/>
        <w:ind w:left="1099" w:right="64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 with finance to create models that identified $3.5M in potential savings and reinvestment opportunities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59" w:after="0"/>
        <w:ind w:left="1099" w:right="28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competitive analysis projects that informed product positioning and pricing strategy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1573" w:space="1831"/>
            <w:col w:w="7383"/>
          </w:cols>
        </w:sectPr>
      </w:pP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</w:pPr>
      <w:r>
        <w:rPr>
          <w:color w:val="A2B8DE"/>
          <w:spacing w:val="-2"/>
          <w:w w:val="130"/>
        </w:rPr>
        <w:t>EDUCATION</w:t>
      </w:r>
    </w:p>
    <w:p>
      <w:pPr>
        <w:pStyle w:val="BodyText"/>
        <w:spacing w:line="259" w:lineRule="auto" w:before="217"/>
        <w:ind w:left="114" w:right="35"/>
      </w:pPr>
      <w:r>
        <w:rPr>
          <w:w w:val="110"/>
        </w:rPr>
        <w:t>Bachelor</w:t>
      </w:r>
      <w:r>
        <w:rPr>
          <w:spacing w:val="-8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w w:val="110"/>
        </w:rPr>
        <w:t>Science</w:t>
      </w:r>
      <w:r>
        <w:rPr>
          <w:spacing w:val="-4"/>
          <w:w w:val="110"/>
        </w:rPr>
        <w:t> </w:t>
      </w:r>
      <w:r>
        <w:rPr>
          <w:w w:val="110"/>
        </w:rPr>
        <w:t>in </w:t>
      </w:r>
      <w:r>
        <w:rPr>
          <w:spacing w:val="-2"/>
          <w:w w:val="110"/>
        </w:rPr>
        <w:t>Economics</w:t>
      </w:r>
    </w:p>
    <w:p>
      <w:pPr>
        <w:pStyle w:val="BodyText"/>
        <w:spacing w:line="259" w:lineRule="auto" w:before="14"/>
        <w:ind w:left="114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3"/>
        </w:rPr>
        <w:t> </w:t>
      </w:r>
      <w:r>
        <w:rPr/>
        <w:t>California,</w:t>
      </w:r>
      <w:r>
        <w:rPr>
          <w:spacing w:val="40"/>
        </w:rPr>
        <w:t> </w:t>
      </w:r>
      <w:r>
        <w:rPr/>
        <w:t>San</w:t>
      </w:r>
      <w:r>
        <w:rPr>
          <w:spacing w:val="80"/>
        </w:rPr>
        <w:t> </w:t>
      </w:r>
      <w:r>
        <w:rPr/>
        <w:t>Diego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San</w:t>
      </w:r>
      <w:r>
        <w:rPr>
          <w:spacing w:val="37"/>
        </w:rPr>
        <w:t> </w:t>
      </w:r>
      <w:r>
        <w:rPr/>
        <w:t>Diego,</w:t>
      </w:r>
      <w:r>
        <w:rPr>
          <w:spacing w:val="37"/>
        </w:rPr>
        <w:t> </w:t>
      </w:r>
      <w:r>
        <w:rPr/>
        <w:t>CA,</w:t>
      </w:r>
      <w:r>
        <w:rPr>
          <w:spacing w:val="37"/>
        </w:rPr>
        <w:t> </w:t>
      </w:r>
      <w:r>
        <w:rPr/>
        <w:t>May</w:t>
      </w:r>
      <w:r>
        <w:rPr>
          <w:spacing w:val="28"/>
        </w:rPr>
        <w:t> </w:t>
      </w:r>
      <w:r>
        <w:rPr/>
        <w:t>2016</w:t>
      </w:r>
    </w:p>
    <w:p>
      <w:pPr>
        <w:pStyle w:val="BodyText"/>
        <w:spacing w:before="57"/>
      </w:pPr>
    </w:p>
    <w:p>
      <w:pPr>
        <w:pStyle w:val="Heading1"/>
        <w:spacing w:line="200" w:lineRule="exact" w:before="0"/>
      </w:pPr>
      <w:r>
        <w:rPr>
          <w:color w:val="A2B8DE"/>
          <w:w w:val="140"/>
        </w:rPr>
        <w:t>KEY</w:t>
      </w:r>
      <w:r>
        <w:rPr>
          <w:color w:val="A2B8DE"/>
          <w:spacing w:val="5"/>
          <w:w w:val="140"/>
        </w:rPr>
        <w:t> </w:t>
      </w:r>
      <w:r>
        <w:rPr>
          <w:color w:val="A2B8DE"/>
          <w:spacing w:val="-2"/>
          <w:w w:val="140"/>
        </w:rPr>
        <w:t>SKILLS</w:t>
      </w:r>
    </w:p>
    <w:p>
      <w:pPr>
        <w:pStyle w:val="BodyText"/>
        <w:spacing w:line="266" w:lineRule="auto" w:before="155"/>
        <w:ind w:left="2" w:right="1724"/>
      </w:pPr>
      <w:r>
        <w:rPr/>
        <w:br w:type="column"/>
      </w:r>
      <w:r>
        <w:rPr>
          <w:w w:val="110"/>
        </w:rPr>
        <w:t>STRATEGY</w:t>
      </w:r>
      <w:r>
        <w:rPr>
          <w:spacing w:val="-3"/>
          <w:w w:val="110"/>
        </w:rPr>
        <w:t> </w:t>
      </w:r>
      <w:r>
        <w:rPr>
          <w:w w:val="110"/>
        </w:rPr>
        <w:t>ANALYST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PACIFICA GROUP </w:t>
      </w:r>
      <w:r>
        <w:rPr>
          <w:w w:val="85"/>
        </w:rPr>
        <w:t>| </w:t>
      </w:r>
      <w:r>
        <w:rPr>
          <w:w w:val="110"/>
        </w:rPr>
        <w:t>SAN DIEGO, CA JUNE 2016 </w:t>
      </w:r>
      <w:r>
        <w:rPr>
          <w:w w:val="130"/>
        </w:rPr>
        <w:t>– </w:t>
      </w:r>
      <w:r>
        <w:rPr>
          <w:w w:val="110"/>
        </w:rPr>
        <w:t>SEPTEMBER 2018</w:t>
      </w:r>
    </w:p>
    <w:p>
      <w:pPr>
        <w:pStyle w:val="BodyText"/>
        <w:spacing w:before="15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1" w:after="0"/>
        <w:ind w:left="523" w:right="20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market</w:t>
      </w:r>
      <w:r>
        <w:rPr>
          <w:spacing w:val="40"/>
          <w:sz w:val="18"/>
        </w:rPr>
        <w:t> </w:t>
      </w:r>
      <w:r>
        <w:rPr>
          <w:sz w:val="18"/>
        </w:rPr>
        <w:t>research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support</w:t>
      </w:r>
      <w:r>
        <w:rPr>
          <w:spacing w:val="40"/>
          <w:sz w:val="18"/>
        </w:rPr>
        <w:t> </w:t>
      </w:r>
      <w:r>
        <w:rPr>
          <w:sz w:val="18"/>
        </w:rPr>
        <w:t>entry</w:t>
      </w:r>
      <w:r>
        <w:rPr>
          <w:spacing w:val="38"/>
          <w:sz w:val="18"/>
        </w:rPr>
        <w:t> </w:t>
      </w:r>
      <w:r>
        <w:rPr>
          <w:sz w:val="18"/>
        </w:rPr>
        <w:t>into</w:t>
      </w:r>
      <w:r>
        <w:rPr>
          <w:spacing w:val="40"/>
          <w:sz w:val="18"/>
        </w:rPr>
        <w:t> </w:t>
      </w:r>
      <w:r>
        <w:rPr>
          <w:sz w:val="18"/>
        </w:rPr>
        <w:t>2</w:t>
      </w:r>
      <w:r>
        <w:rPr>
          <w:spacing w:val="40"/>
          <w:sz w:val="18"/>
        </w:rPr>
        <w:t> </w:t>
      </w:r>
      <w:r>
        <w:rPr>
          <w:sz w:val="18"/>
        </w:rPr>
        <w:t>new</w:t>
      </w:r>
      <w:r>
        <w:rPr>
          <w:spacing w:val="38"/>
          <w:sz w:val="18"/>
        </w:rPr>
        <w:t> </w:t>
      </w:r>
      <w:r>
        <w:rPr>
          <w:sz w:val="18"/>
        </w:rPr>
        <w:t>international markets,</w:t>
      </w:r>
      <w:r>
        <w:rPr>
          <w:spacing w:val="40"/>
          <w:sz w:val="18"/>
        </w:rPr>
        <w:t> </w:t>
      </w:r>
      <w:r>
        <w:rPr>
          <w:sz w:val="18"/>
        </w:rPr>
        <w:t>contributing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12%</w:t>
      </w:r>
      <w:r>
        <w:rPr>
          <w:spacing w:val="40"/>
          <w:sz w:val="18"/>
        </w:rPr>
        <w:t> </w:t>
      </w:r>
      <w:r>
        <w:rPr>
          <w:sz w:val="18"/>
        </w:rPr>
        <w:t>revenue</w:t>
      </w:r>
      <w:r>
        <w:rPr>
          <w:spacing w:val="40"/>
          <w:sz w:val="18"/>
        </w:rPr>
        <w:t> </w:t>
      </w:r>
      <w:r>
        <w:rPr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8" w:after="0"/>
        <w:ind w:left="523" w:right="50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decision-making on resource allocation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2982" w:space="998"/>
            <w:col w:w="6807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4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Competitive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10" w:after="0"/>
        <w:ind w:left="411" w:right="381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Cross-Functional Collaboration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05" w:lineRule="exact" w:before="17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Financial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855" w:val="left" w:leader="none"/>
          <w:tab w:pos="857" w:val="left" w:leader="none"/>
        </w:tabs>
        <w:spacing w:line="218" w:lineRule="auto" w:before="19" w:after="0"/>
        <w:ind w:left="857" w:right="2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 with operations to streamline internal reporting, saving 200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annually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manual processing</w:t>
      </w:r>
    </w:p>
    <w:p>
      <w:pPr>
        <w:pStyle w:val="BodyText"/>
        <w:spacing w:before="152"/>
      </w:pPr>
    </w:p>
    <w:p>
      <w:pPr>
        <w:pStyle w:val="Heading1"/>
        <w:spacing w:before="0"/>
        <w:ind w:left="114"/>
      </w:pPr>
      <w:r>
        <w:rPr>
          <w:color w:val="A2B8DE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2308" w:space="1338"/>
            <w:col w:w="7141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2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00949"/>
                            <a:ext cx="2476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05150">
                                <a:moveTo>
                                  <a:pt x="0" y="3105149"/>
                                </a:moveTo>
                                <a:lnTo>
                                  <a:pt x="2476499" y="3105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00949"/>
                            <a:ext cx="95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05150">
                                <a:moveTo>
                                  <a:pt x="0" y="3105149"/>
                                </a:moveTo>
                                <a:lnTo>
                                  <a:pt x="9524" y="3105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95925">
                                <a:moveTo>
                                  <a:pt x="9524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95925">
                                <a:moveTo>
                                  <a:pt x="2466974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0;top:11970;width:3900;height:4890" id="docshape2" filled="true" fillcolor="#a2b8de" stroked="false">
                  <v:fill opacity="32899f" type="solid"/>
                </v:rect>
                <v:rect style="position:absolute;left:3885;top:11970;width:15;height:4890" id="docshape3" filled="true" fillcolor="#000000" stroked="false">
                  <v:fill type="solid"/>
                </v:rect>
                <v:rect style="position:absolute;left:0;top:0;width:11919;height:3315" id="docshape4" filled="true" fillcolor="#a2b8de" stroked="false">
                  <v:fill type="solid"/>
                </v:rect>
                <v:rect style="position:absolute;left:3885;top:3315;width:15;height:8655" id="docshape5" filled="true" fillcolor="#000000" stroked="false">
                  <v:fill type="solid"/>
                </v:rect>
                <v:rect style="position:absolute;left:0;top:3315;width:3885;height:8655" id="docshape6" filled="true" fillcolor="#a2b8de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a2b8de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a2b8de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a2b8de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a2b8de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a2b8de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a2b8de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a2b8de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a2b8de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Market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Strategic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Trend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90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Certified Strategic Planning Professional (CSPP), Association for Strategic Planning, July 2021</w:t>
      </w:r>
    </w:p>
    <w:sectPr>
      <w:type w:val="continuous"/>
      <w:pgSz w:w="11920" w:h="16860"/>
      <w:pgMar w:top="560" w:bottom="280" w:left="425" w:right="708"/>
      <w:cols w:num="2" w:equalWidth="0">
        <w:col w:w="2381" w:space="1488"/>
        <w:col w:w="69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2026-02-11T01:59:54Z</dcterms:created>
  <dcterms:modified xsi:type="dcterms:W3CDTF">2026-02-11T01:59:54Z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