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Avery</w:t>
      </w:r>
      <w:r>
        <w:rPr>
          <w:color w:val="FFFFFF"/>
          <w:spacing w:val="-9"/>
          <w:w w:val="150"/>
        </w:rPr>
        <w:t> </w:t>
      </w:r>
      <w:r>
        <w:rPr>
          <w:color w:val="FFFFFF"/>
          <w:spacing w:val="9"/>
        </w:rPr>
        <w:t>Harris</w:t>
      </w:r>
    </w:p>
    <w:p>
      <w:pPr>
        <w:pStyle w:val="Heading2"/>
      </w:pPr>
      <w:r>
        <w:rPr>
          <w:color w:val="FFFFFF"/>
          <w:w w:val="105"/>
        </w:rPr>
        <w:t>Corporate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Legal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186" w:right="90"/>
        <w:jc w:val="center"/>
      </w:pPr>
      <w:r>
        <w:rPr>
          <w:w w:val="130"/>
        </w:rPr>
        <w:t>Corporate Legal Assistant with a background in contract administration and business compliance</w:t>
      </w:r>
    </w:p>
    <w:p>
      <w:pPr>
        <w:pStyle w:val="BodyText"/>
        <w:spacing w:line="273" w:lineRule="auto" w:before="120"/>
        <w:ind w:left="4214" w:right="118"/>
        <w:jc w:val="center"/>
      </w:pPr>
      <w:r>
        <w:rPr>
          <w:w w:val="125"/>
        </w:rPr>
        <w:t>Skilled</w:t>
      </w:r>
      <w:r>
        <w:rPr>
          <w:spacing w:val="39"/>
          <w:w w:val="125"/>
        </w:rPr>
        <w:t> </w:t>
      </w:r>
      <w:r>
        <w:rPr>
          <w:w w:val="125"/>
        </w:rPr>
        <w:t>Legal</w:t>
      </w:r>
      <w:r>
        <w:rPr>
          <w:spacing w:val="39"/>
          <w:w w:val="125"/>
        </w:rPr>
        <w:t> </w:t>
      </w:r>
      <w:r>
        <w:rPr>
          <w:w w:val="125"/>
        </w:rPr>
        <w:t>Professional</w:t>
      </w:r>
      <w:r>
        <w:rPr>
          <w:spacing w:val="39"/>
          <w:w w:val="125"/>
        </w:rPr>
        <w:t> </w:t>
      </w:r>
      <w:r>
        <w:rPr>
          <w:w w:val="125"/>
        </w:rPr>
        <w:t>with</w:t>
      </w:r>
      <w:r>
        <w:rPr>
          <w:spacing w:val="39"/>
          <w:w w:val="125"/>
        </w:rPr>
        <w:t> </w:t>
      </w:r>
      <w:r>
        <w:rPr>
          <w:w w:val="125"/>
        </w:rPr>
        <w:t>7</w:t>
      </w:r>
      <w:r>
        <w:rPr>
          <w:spacing w:val="39"/>
          <w:w w:val="125"/>
        </w:rPr>
        <w:t> </w:t>
      </w:r>
      <w:r>
        <w:rPr>
          <w:w w:val="125"/>
        </w:rPr>
        <w:t>years</w:t>
      </w:r>
      <w:r>
        <w:rPr>
          <w:spacing w:val="39"/>
          <w:w w:val="125"/>
        </w:rPr>
        <w:t> </w:t>
      </w:r>
      <w:r>
        <w:rPr>
          <w:w w:val="125"/>
        </w:rPr>
        <w:t>of</w:t>
      </w:r>
      <w:r>
        <w:rPr>
          <w:spacing w:val="39"/>
          <w:w w:val="125"/>
        </w:rPr>
        <w:t> </w:t>
      </w:r>
      <w:r>
        <w:rPr>
          <w:w w:val="125"/>
        </w:rPr>
        <w:t>experience</w:t>
      </w:r>
      <w:r>
        <w:rPr>
          <w:spacing w:val="39"/>
          <w:w w:val="125"/>
        </w:rPr>
        <w:t> </w:t>
      </w:r>
      <w:r>
        <w:rPr>
          <w:w w:val="125"/>
        </w:rPr>
        <w:t>supporting</w:t>
      </w:r>
      <w:r>
        <w:rPr>
          <w:spacing w:val="39"/>
          <w:w w:val="125"/>
        </w:rPr>
        <w:t> </w:t>
      </w:r>
      <w:r>
        <w:rPr>
          <w:w w:val="125"/>
        </w:rPr>
        <w:t>in-house counsel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corporate</w:t>
      </w:r>
      <w:r>
        <w:rPr>
          <w:spacing w:val="40"/>
          <w:w w:val="125"/>
        </w:rPr>
        <w:t> </w:t>
      </w:r>
      <w:r>
        <w:rPr>
          <w:w w:val="125"/>
        </w:rPr>
        <w:t>legal</w:t>
      </w:r>
      <w:r>
        <w:rPr>
          <w:spacing w:val="40"/>
          <w:w w:val="125"/>
        </w:rPr>
        <w:t> </w:t>
      </w:r>
      <w:r>
        <w:rPr>
          <w:w w:val="125"/>
        </w:rPr>
        <w:t>departments.</w:t>
      </w:r>
      <w:r>
        <w:rPr>
          <w:spacing w:val="40"/>
          <w:w w:val="125"/>
        </w:rPr>
        <w:t> </w:t>
      </w:r>
      <w:r>
        <w:rPr>
          <w:w w:val="125"/>
        </w:rPr>
        <w:t>Experienced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contract drafting,</w:t>
      </w:r>
      <w:r>
        <w:rPr>
          <w:spacing w:val="40"/>
          <w:w w:val="125"/>
        </w:rPr>
        <w:t> </w:t>
      </w:r>
      <w:r>
        <w:rPr>
          <w:w w:val="125"/>
        </w:rPr>
        <w:t>entity</w:t>
      </w:r>
      <w:r>
        <w:rPr>
          <w:spacing w:val="40"/>
          <w:w w:val="125"/>
        </w:rPr>
        <w:t> </w:t>
      </w:r>
      <w:r>
        <w:rPr>
          <w:w w:val="125"/>
        </w:rPr>
        <w:t>management,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compliance</w:t>
      </w:r>
      <w:r>
        <w:rPr>
          <w:spacing w:val="40"/>
          <w:w w:val="125"/>
        </w:rPr>
        <w:t> </w:t>
      </w:r>
      <w:r>
        <w:rPr>
          <w:w w:val="125"/>
        </w:rPr>
        <w:t>filings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national</w:t>
      </w:r>
      <w:r>
        <w:rPr>
          <w:spacing w:val="40"/>
          <w:w w:val="125"/>
        </w:rPr>
        <w:t> </w:t>
      </w:r>
      <w:r>
        <w:rPr>
          <w:w w:val="125"/>
        </w:rPr>
        <w:t>and international clients.</w:t>
      </w: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283"/>
        </w:sectPr>
      </w:pPr>
    </w:p>
    <w:p>
      <w:pPr>
        <w:spacing w:before="98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98B78"/>
          <w:spacing w:val="-2"/>
          <w:sz w:val="15"/>
        </w:rPr>
        <w:t>PERSONAL</w:t>
      </w:r>
      <w:r>
        <w:rPr>
          <w:rFonts w:ascii="Arial"/>
          <w:b/>
          <w:color w:val="F98B78"/>
          <w:spacing w:val="-6"/>
          <w:sz w:val="15"/>
        </w:rPr>
        <w:t> </w:t>
      </w:r>
      <w:r>
        <w:rPr>
          <w:rFonts w:ascii="Arial"/>
          <w:b/>
          <w:color w:val="F98B78"/>
          <w:spacing w:val="-2"/>
          <w:sz w:val="15"/>
        </w:rPr>
        <w:t>INFORMATION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6"/>
        <w:rPr>
          <w:rFonts w:ascii="Arial"/>
          <w:b/>
          <w:sz w:val="15"/>
        </w:rPr>
      </w:pPr>
    </w:p>
    <w:p>
      <w:pPr>
        <w:pStyle w:val="BodyText"/>
        <w:spacing w:before="1"/>
        <w:ind w:left="647"/>
      </w:pPr>
      <w:r>
        <w:rPr>
          <w:w w:val="115"/>
        </w:rPr>
        <w:t>(123)</w:t>
      </w:r>
      <w:r>
        <w:rPr>
          <w:spacing w:val="22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0"/>
      </w:pPr>
    </w:p>
    <w:p>
      <w:pPr>
        <w:pStyle w:val="BodyText"/>
        <w:spacing w:line="491" w:lineRule="auto"/>
        <w:ind w:left="647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hyperlink r:id="rId6">
        <w:r>
          <w:rPr>
            <w:spacing w:val="-2"/>
            <w:w w:val="125"/>
          </w:rPr>
          <w:t>www.example.com/portfolio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spacing w:before="149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98B78"/>
          <w:sz w:val="15"/>
        </w:rPr>
        <w:t>KEY</w:t>
      </w:r>
      <w:r>
        <w:rPr>
          <w:rFonts w:ascii="Arial"/>
          <w:b/>
          <w:color w:val="F98B78"/>
          <w:spacing w:val="-10"/>
          <w:sz w:val="15"/>
        </w:rPr>
        <w:t> </w:t>
      </w:r>
      <w:r>
        <w:rPr>
          <w:rFonts w:ascii="Arial"/>
          <w:b/>
          <w:color w:val="F98B78"/>
          <w:spacing w:val="-2"/>
          <w:sz w:val="15"/>
        </w:rPr>
        <w:t>SKILLS</w:t>
      </w:r>
    </w:p>
    <w:p>
      <w:pPr>
        <w:pStyle w:val="BodyText"/>
        <w:spacing w:before="150"/>
        <w:rPr>
          <w:rFonts w:ascii="Arial"/>
          <w:b/>
          <w:sz w:val="15"/>
        </w:rPr>
      </w:pPr>
    </w:p>
    <w:p>
      <w:pPr>
        <w:pStyle w:val="BodyText"/>
        <w:spacing w:line="376" w:lineRule="auto"/>
        <w:ind w:left="424" w:right="566"/>
      </w:pPr>
      <w:r>
        <w:rPr>
          <w:w w:val="125"/>
        </w:rPr>
        <w:t>Corporate governance Contract review Document control</w:t>
      </w:r>
    </w:p>
    <w:p>
      <w:pPr>
        <w:pStyle w:val="BodyText"/>
        <w:spacing w:line="376" w:lineRule="auto"/>
        <w:ind w:left="424"/>
      </w:pPr>
      <w:r>
        <w:rPr>
          <w:w w:val="130"/>
        </w:rPr>
        <w:t>Legal compliance support Microsoft Excel</w:t>
      </w:r>
    </w:p>
    <w:p>
      <w:pPr>
        <w:pStyle w:val="BodyText"/>
        <w:ind w:left="424"/>
      </w:pPr>
      <w:r>
        <w:rPr>
          <w:w w:val="135"/>
        </w:rPr>
        <w:t>SEC</w:t>
      </w:r>
      <w:r>
        <w:rPr>
          <w:spacing w:val="16"/>
          <w:w w:val="135"/>
        </w:rPr>
        <w:t> </w:t>
      </w:r>
      <w:r>
        <w:rPr>
          <w:spacing w:val="-2"/>
          <w:w w:val="135"/>
        </w:rPr>
        <w:t>filings</w:t>
      </w:r>
    </w:p>
    <w:p>
      <w:pPr>
        <w:pStyle w:val="BodyText"/>
        <w:spacing w:line="278" w:lineRule="auto" w:before="125"/>
        <w:ind w:left="424"/>
      </w:pPr>
      <w:r>
        <w:rPr>
          <w:w w:val="130"/>
        </w:rPr>
        <w:t>Shareholder </w:t>
      </w:r>
      <w:r>
        <w:rPr>
          <w:w w:val="130"/>
        </w:rPr>
        <w:t>meeting </w:t>
      </w:r>
      <w:r>
        <w:rPr>
          <w:spacing w:val="-2"/>
          <w:w w:val="130"/>
        </w:rPr>
        <w:t>coordination</w:t>
      </w:r>
    </w:p>
    <w:p>
      <w:pPr>
        <w:spacing w:before="143"/>
        <w:ind w:left="127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F98B78"/>
          <w:spacing w:val="-2"/>
          <w:sz w:val="15"/>
        </w:rPr>
        <w:t>PROFESSIONAL</w:t>
      </w:r>
      <w:r>
        <w:rPr>
          <w:rFonts w:ascii="Arial"/>
          <w:b/>
          <w:color w:val="F98B78"/>
          <w:spacing w:val="-3"/>
          <w:sz w:val="15"/>
        </w:rPr>
        <w:t> </w:t>
      </w:r>
      <w:r>
        <w:rPr>
          <w:rFonts w:ascii="Arial"/>
          <w:b/>
          <w:color w:val="F98B78"/>
          <w:spacing w:val="-2"/>
          <w:sz w:val="15"/>
        </w:rPr>
        <w:t>EXPERIENCE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278" w:lineRule="auto"/>
        <w:ind w:left="684" w:right="408"/>
      </w:pPr>
      <w:r>
        <w:rPr>
          <w:w w:val="125"/>
        </w:rPr>
        <w:t>Corporate Legal Assistant, Vega International Inc., Houston, TX</w:t>
      </w:r>
      <w:r>
        <w:rPr>
          <w:spacing w:val="40"/>
          <w:w w:val="125"/>
        </w:rPr>
        <w:t> </w:t>
      </w:r>
      <w:r>
        <w:rPr>
          <w:w w:val="125"/>
        </w:rPr>
        <w:t>January 2020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Present</w:t>
      </w:r>
    </w:p>
    <w:p>
      <w:pPr>
        <w:pStyle w:val="BodyText"/>
        <w:spacing w:line="278" w:lineRule="auto" w:before="180"/>
        <w:ind w:left="963" w:right="408"/>
      </w:pPr>
      <w:r>
        <w:rPr>
          <w:w w:val="125"/>
        </w:rPr>
        <w:t>Draft and revise vendor contracts, NDAs, and internal memos</w:t>
      </w:r>
      <w:r>
        <w:rPr>
          <w:spacing w:val="40"/>
          <w:w w:val="125"/>
        </w:rPr>
        <w:t> </w:t>
      </w:r>
      <w:r>
        <w:rPr>
          <w:w w:val="125"/>
        </w:rPr>
        <w:t>for the legal department</w:t>
      </w:r>
    </w:p>
    <w:p>
      <w:pPr>
        <w:pStyle w:val="BodyText"/>
        <w:spacing w:line="278" w:lineRule="auto" w:before="90"/>
        <w:ind w:left="963" w:right="408"/>
      </w:pPr>
      <w:r>
        <w:rPr>
          <w:w w:val="125"/>
        </w:rPr>
        <w:t>Support compliance with corporate records and annual state</w:t>
      </w:r>
      <w:r>
        <w:rPr>
          <w:spacing w:val="80"/>
          <w:w w:val="125"/>
        </w:rPr>
        <w:t> </w:t>
      </w:r>
      <w:r>
        <w:rPr>
          <w:w w:val="125"/>
        </w:rPr>
        <w:t>filings across 12 jurisdictions</w:t>
      </w:r>
    </w:p>
    <w:p>
      <w:pPr>
        <w:pStyle w:val="BodyText"/>
        <w:spacing w:line="278" w:lineRule="auto" w:before="91"/>
        <w:ind w:left="963"/>
      </w:pPr>
      <w:r>
        <w:rPr>
          <w:w w:val="130"/>
        </w:rPr>
        <w:t>Prepare documentation for board meetings and shareholder </w:t>
      </w:r>
      <w:r>
        <w:rPr>
          <w:spacing w:val="-2"/>
          <w:w w:val="130"/>
        </w:rPr>
        <w:t>communications</w:t>
      </w:r>
    </w:p>
    <w:p>
      <w:pPr>
        <w:pStyle w:val="BodyText"/>
        <w:spacing w:line="278" w:lineRule="auto" w:before="180"/>
        <w:ind w:left="684" w:right="662"/>
      </w:pPr>
      <w:r>
        <w:rPr>
          <w:w w:val="125"/>
        </w:rPr>
        <w:t>Legal Assistant – Business Law, Smithson Law Group, Houston,</w:t>
      </w:r>
      <w:r>
        <w:rPr>
          <w:spacing w:val="80"/>
          <w:w w:val="125"/>
        </w:rPr>
        <w:t> </w:t>
      </w:r>
      <w:r>
        <w:rPr>
          <w:spacing w:val="-6"/>
          <w:w w:val="125"/>
        </w:rPr>
        <w:t>TX</w:t>
      </w:r>
    </w:p>
    <w:p>
      <w:pPr>
        <w:pStyle w:val="BodyText"/>
        <w:ind w:left="684"/>
      </w:pPr>
      <w:r>
        <w:rPr>
          <w:w w:val="115"/>
        </w:rPr>
        <w:t>August</w:t>
      </w:r>
      <w:r>
        <w:rPr>
          <w:spacing w:val="41"/>
          <w:w w:val="115"/>
        </w:rPr>
        <w:t> </w:t>
      </w:r>
      <w:r>
        <w:rPr>
          <w:w w:val="115"/>
        </w:rPr>
        <w:t>2016</w:t>
      </w:r>
      <w:r>
        <w:rPr>
          <w:spacing w:val="57"/>
          <w:w w:val="115"/>
        </w:rPr>
        <w:t>  </w:t>
      </w:r>
      <w:r>
        <w:rPr>
          <w:w w:val="115"/>
        </w:rPr>
        <w:t>–</w:t>
      </w:r>
      <w:r>
        <w:rPr>
          <w:spacing w:val="57"/>
          <w:w w:val="115"/>
        </w:rPr>
        <w:t>  </w:t>
      </w:r>
      <w:r>
        <w:rPr>
          <w:w w:val="115"/>
        </w:rPr>
        <w:t>December</w:t>
      </w:r>
      <w:r>
        <w:rPr>
          <w:spacing w:val="43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line="278" w:lineRule="auto" w:before="215"/>
        <w:ind w:left="963" w:right="662"/>
      </w:pPr>
      <w:r>
        <w:rPr>
          <w:w w:val="125"/>
        </w:rPr>
        <w:t>Conducted research on regulatory updates for business</w:t>
      </w:r>
      <w:r>
        <w:rPr>
          <w:spacing w:val="40"/>
          <w:w w:val="125"/>
        </w:rPr>
        <w:t> </w:t>
      </w:r>
      <w:r>
        <w:rPr>
          <w:spacing w:val="-2"/>
          <w:w w:val="125"/>
        </w:rPr>
        <w:t>clients</w:t>
      </w:r>
    </w:p>
    <w:p>
      <w:pPr>
        <w:pStyle w:val="BodyText"/>
        <w:spacing w:line="393" w:lineRule="auto" w:before="91"/>
        <w:ind w:left="963" w:right="649"/>
      </w:pPr>
      <w:r>
        <w:rPr>
          <w:w w:val="125"/>
        </w:rPr>
        <w:t>Maintained contract database and ensured version control</w:t>
      </w:r>
      <w:r>
        <w:rPr>
          <w:spacing w:val="40"/>
          <w:w w:val="125"/>
        </w:rPr>
        <w:t> </w:t>
      </w:r>
      <w:r>
        <w:rPr>
          <w:w w:val="125"/>
        </w:rPr>
        <w:t>Processed</w:t>
      </w:r>
      <w:r>
        <w:rPr>
          <w:spacing w:val="40"/>
          <w:w w:val="125"/>
        </w:rPr>
        <w:t> </w:t>
      </w:r>
      <w:r>
        <w:rPr>
          <w:w w:val="125"/>
        </w:rPr>
        <w:t>legal</w:t>
      </w:r>
      <w:r>
        <w:rPr>
          <w:spacing w:val="40"/>
          <w:w w:val="125"/>
        </w:rPr>
        <w:t> </w:t>
      </w:r>
      <w:r>
        <w:rPr>
          <w:w w:val="125"/>
        </w:rPr>
        <w:t>invoices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vendor</w:t>
      </w:r>
      <w:r>
        <w:rPr>
          <w:spacing w:val="40"/>
          <w:w w:val="125"/>
        </w:rPr>
        <w:t> </w:t>
      </w:r>
      <w:r>
        <w:rPr>
          <w:w w:val="125"/>
        </w:rPr>
        <w:t>correspondence</w:t>
      </w:r>
    </w:p>
    <w:p>
      <w:pPr>
        <w:pStyle w:val="BodyText"/>
        <w:spacing w:after="0" w:line="393" w:lineRule="auto"/>
        <w:sectPr>
          <w:type w:val="continuous"/>
          <w:pgSz w:w="11920" w:h="16860"/>
          <w:pgMar w:top="940" w:bottom="280" w:left="283" w:right="283"/>
          <w:cols w:num="2" w:equalWidth="0">
            <w:col w:w="3382" w:space="729"/>
            <w:col w:w="7243"/>
          </w:cols>
        </w:sectPr>
      </w:pPr>
    </w:p>
    <w:p>
      <w:pPr>
        <w:pStyle w:val="BodyText"/>
        <w:spacing w:before="11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448287"/>
                                </a:moveTo>
                                <a:lnTo>
                                  <a:pt x="0" y="54482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4482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5181587"/>
                                </a:lnTo>
                                <a:lnTo>
                                  <a:pt x="2581262" y="518158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24449"/>
                            <a:ext cx="47625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7160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8389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83894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0961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495674"/>
                            <a:ext cx="21907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89560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895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868447"/>
                                </a:moveTo>
                                <a:lnTo>
                                  <a:pt x="198615" y="2847975"/>
                                </a:lnTo>
                                <a:lnTo>
                                  <a:pt x="191922" y="2847975"/>
                                </a:lnTo>
                                <a:lnTo>
                                  <a:pt x="171450" y="2868447"/>
                                </a:lnTo>
                                <a:lnTo>
                                  <a:pt x="171450" y="2872016"/>
                                </a:lnTo>
                                <a:lnTo>
                                  <a:pt x="171450" y="2875140"/>
                                </a:lnTo>
                                <a:lnTo>
                                  <a:pt x="191922" y="2895600"/>
                                </a:lnTo>
                                <a:lnTo>
                                  <a:pt x="198615" y="2895600"/>
                                </a:lnTo>
                                <a:lnTo>
                                  <a:pt x="219075" y="2875140"/>
                                </a:lnTo>
                                <a:lnTo>
                                  <a:pt x="219075" y="2868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649372"/>
                                </a:moveTo>
                                <a:lnTo>
                                  <a:pt x="198615" y="2628900"/>
                                </a:lnTo>
                                <a:lnTo>
                                  <a:pt x="191922" y="2628900"/>
                                </a:lnTo>
                                <a:lnTo>
                                  <a:pt x="171450" y="2649372"/>
                                </a:lnTo>
                                <a:lnTo>
                                  <a:pt x="171450" y="2652941"/>
                                </a:lnTo>
                                <a:lnTo>
                                  <a:pt x="171450" y="2656065"/>
                                </a:lnTo>
                                <a:lnTo>
                                  <a:pt x="191922" y="2676525"/>
                                </a:lnTo>
                                <a:lnTo>
                                  <a:pt x="198615" y="2676525"/>
                                </a:lnTo>
                                <a:lnTo>
                                  <a:pt x="219075" y="2656065"/>
                                </a:lnTo>
                                <a:lnTo>
                                  <a:pt x="219075" y="26493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268372"/>
                                </a:moveTo>
                                <a:lnTo>
                                  <a:pt x="198615" y="2247900"/>
                                </a:lnTo>
                                <a:lnTo>
                                  <a:pt x="191922" y="2247900"/>
                                </a:lnTo>
                                <a:lnTo>
                                  <a:pt x="171450" y="2268372"/>
                                </a:lnTo>
                                <a:lnTo>
                                  <a:pt x="171450" y="2271941"/>
                                </a:lnTo>
                                <a:lnTo>
                                  <a:pt x="171450" y="2275065"/>
                                </a:lnTo>
                                <a:lnTo>
                                  <a:pt x="191922" y="2295525"/>
                                </a:lnTo>
                                <a:lnTo>
                                  <a:pt x="198615" y="2295525"/>
                                </a:lnTo>
                                <a:lnTo>
                                  <a:pt x="219075" y="2275065"/>
                                </a:lnTo>
                                <a:lnTo>
                                  <a:pt x="219075" y="22683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shape style="position:absolute;left:0;top:2610;width:4065;height:14250" id="docshape2" coordorigin="0,2610" coordsize="4065,14250" path="m4065,11190l0,11190,0,16860,4065,16860,4065,11190xm4065,7800l0,7800,0,10770,4065,1077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98b78" stroked="false">
                  <v:fill type="solid"/>
                </v:rect>
                <v:shape style="position:absolute;left:420;top:990;width:3210;height:3225" type="#_x0000_t75" id="docshape4" stroked="false">
                  <v:imagedata r:id="rId7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8" o:title=""/>
                </v:shape>
                <v:shape style="position:absolute;left:425;top:5970;width:275;height:317" type="#_x0000_t75" id="docshape10" stroked="false">
                  <v:imagedata r:id="rId9" o:title=""/>
                </v:shape>
                <v:shape style="position:absolute;left:405;top:6426;width:317;height:274" type="#_x0000_t75" id="docshape11" stroked="false">
                  <v:imagedata r:id="rId10" o:title=""/>
                </v:shape>
                <v:shape style="position:absolute;left:406;top:6855;width:315;height:317" type="#_x0000_t75" id="docshape12" stroked="false">
                  <v:imagedata r:id="rId11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2160" id="docshape16" coordorigin="405,8070" coordsize="75,2160" path="m480,10187l479,10182,475,10173,473,10169,466,10162,462,10160,453,10156,448,10155,437,10155,432,10156,423,10160,419,10162,412,10169,410,10173,406,10182,405,10187,405,10193,405,10198,406,10203,410,10212,412,10216,419,10223,423,10225,432,10229,437,10230,448,10230,453,10229,462,10225,466,10223,473,10216,475,10212,479,10203,480,10198,480,10187x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62l479,8457,475,8448,473,8444,466,8437,462,8435,453,8431,448,8430,437,8430,432,8431,423,8435,419,8437,412,8444,410,8448,406,8457,405,8462,405,8468,405,8473,406,8478,410,8487,412,8491,419,8498,423,8500,432,8504,437,8505,448,8505,453,8504,462,8500,466,8498,473,8491,475,8487,479,8478,480,8473,480,846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rect style="position:absolute;left:0;top:10770;width:4245;height:420" id="docshape17" filled="true" fillcolor="#f2f2f2" stroked="false">
                  <v:fill type="solid"/>
                </v:rect>
                <v:shape style="position:absolute;left:0;top:10770;width:4245;height:420" id="docshape18" coordorigin="0,10770" coordsize="4245,420" path="m4245,10770l4230,10770,0,10770,0,10785,4230,10785,4230,11175,0,11175,0,11190,4230,11190,4245,11190,4245,10770xe" filled="true" fillcolor="#000000" stroked="false">
                  <v:path arrowok="t"/>
                  <v:fill opacity="16960f" type="solid"/>
                </v:shape>
                <v:shape style="position:absolute;left:4065;top:11175;width:180;height:315" id="docshape19" coordorigin="4065,11175" coordsize="180,315" path="m4065,11490l4065,11175,4245,11175,4065,11490xe" filled="true" fillcolor="#999999" stroked="false">
                  <v:path arrowok="t"/>
                  <v:fill type="solid"/>
                </v:shape>
                <v:shape style="position:absolute;left:4784;top:5505;width:345;height:4560" id="docshape20" coordorigin="4785,5505" coordsize="345,4560" path="m4860,8132l4859,8127,4855,8118,4853,8114,4846,8107,4842,8105,4833,8101,4828,8100,4817,8100,4812,8101,4803,8105,4799,8107,4792,8114,4790,8118,4786,8127,4785,8132,4785,8138,4785,8143,4786,8148,4790,8157,4792,8161,4799,8168,4803,8170,4812,8174,4817,8175,4828,8175,4833,8174,4842,8170,4846,8168,4853,8161,4855,8157,4859,8148,4860,8143,4860,8132xm4860,5537l4859,5532,4855,5523,4853,5519,4846,5512,4842,5510,4833,5506,4828,5505,4817,5505,4812,5506,4803,5510,4799,5512,4792,5519,4790,5523,4786,5532,4785,5537,4785,5543,4785,5548,4786,5553,4790,5562,4792,5566,4799,5573,4803,5575,4812,5579,4817,5580,4828,5580,4833,5579,4842,5575,4846,5573,4853,5566,4855,5562,4859,5553,4860,5548,4860,5537xm5130,10022l5129,10017,5125,10008,5123,10004,5116,9997,5112,9995,5103,9991,5098,9990,5087,9990,5082,9991,5073,9995,5069,9997,5062,10004,5060,10008,5056,10017,5055,10022,5055,10028,5055,10033,5056,10038,5060,10047,5062,10051,5069,10058,5073,10060,5082,10064,5087,10065,5098,10065,5103,10064,5112,10060,5116,10058,5123,10051,5125,10047,5129,10038,5130,10033,5130,10022xm5130,9677l5129,9672,5125,9663,5123,9659,5116,9652,5112,9650,5103,9646,5098,9645,5087,9645,5082,9646,5073,9650,5069,9652,5062,9659,5060,9663,5056,9672,5055,9677,5055,9683,5055,9688,5056,9693,5060,9702,5062,9706,5069,9713,5073,9715,5082,9719,5087,9720,5098,9720,5103,9719,5112,9715,5116,9713,5123,9706,5125,9702,5129,9693,5130,9688,5130,9677xm5130,9077l5129,9072,5125,9063,5123,9059,5116,9052,5112,9050,5103,9046,5098,9045,5087,9045,5082,9046,5073,9050,5069,9052,5062,9059,5060,9063,5056,9072,5055,9077,5055,9083,5055,9088,5056,9093,5060,9102,5062,9106,5069,9113,5073,9115,5082,9119,5087,9120,5098,9120,5103,9119,5112,9115,5116,9113,5123,9106,5125,9102,5129,9093,5130,9088,5130,9077xm5130,7442l5129,7437,5125,7428,5123,7424,5116,7417,5112,7415,5103,7411,5098,7410,5087,7410,5082,7411,5073,7415,5069,7417,5062,7424,5060,7428,5056,7437,5055,7442,5055,7448,5055,7453,5056,7458,5060,7467,5062,7471,5069,7478,5073,7480,5082,7484,5087,7485,5098,7485,5103,7484,5112,7480,5116,7478,5123,7471,5125,7467,5129,7458,5130,7453,5130,7442xm5130,6842l5129,6837,5125,6828,5123,6824,5116,6817,5112,6815,5103,6811,5098,6810,5087,6810,5082,6811,5073,6815,5069,6817,5062,6824,5060,6828,5056,6837,5055,6842,5055,6848,5055,6853,5056,6858,5060,6867,5062,6871,5069,6878,5073,6880,5082,6884,5087,6885,5098,6885,5103,6884,5112,6880,5116,6878,5123,6871,5125,6867,5129,6858,5130,6853,5130,6842xm5130,6242l5129,6237,5125,6228,5123,6224,5116,6217,5112,6215,5103,6211,5098,6210,5087,6210,5082,6211,5073,6215,5069,6217,5062,6224,5060,6228,5056,6237,5055,6242,5055,6248,5055,6253,5056,6258,5060,6267,5062,6271,5069,6278,5073,6280,5082,6284,5087,6285,5098,6285,5103,6284,5112,6280,5116,6278,5123,6271,5125,6267,5129,6258,5130,6253,5130,62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98B78"/>
          <w:spacing w:val="-2"/>
          <w:sz w:val="15"/>
        </w:rPr>
        <w:t>EDUCATION</w:t>
      </w: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127" w:right="7942"/>
      </w:pPr>
      <w:r>
        <w:rPr>
          <w:w w:val="130"/>
        </w:rPr>
        <w:t>Bachelor of Science in Legal </w:t>
      </w:r>
      <w:r>
        <w:rPr>
          <w:spacing w:val="-2"/>
          <w:w w:val="130"/>
        </w:rPr>
        <w:t>Studies</w:t>
      </w:r>
    </w:p>
    <w:p>
      <w:pPr>
        <w:pStyle w:val="BodyText"/>
        <w:spacing w:line="278" w:lineRule="auto"/>
        <w:ind w:left="127" w:right="8855"/>
      </w:pPr>
      <w:r>
        <w:rPr>
          <w:w w:val="125"/>
        </w:rPr>
        <w:t>University of </w:t>
      </w:r>
      <w:r>
        <w:rPr>
          <w:w w:val="125"/>
        </w:rPr>
        <w:t>Houston May 2016</w:t>
      </w:r>
    </w:p>
    <w:sectPr>
      <w:type w:val="continuous"/>
      <w:pgSz w:w="11920" w:h="16860"/>
      <w:pgMar w:top="9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377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2026-02-15T17:52:57Z</dcterms:created>
  <dcterms:modified xsi:type="dcterms:W3CDTF">2026-02-15T17:52:57Z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