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  <w:spacing w:val="-24"/>
        </w:rPr>
        <w:t>Devon</w:t>
      </w:r>
      <w:r>
        <w:rPr>
          <w:color w:val="FF640D"/>
          <w:spacing w:val="-35"/>
        </w:rPr>
        <w:t> </w:t>
      </w:r>
      <w:r>
        <w:rPr>
          <w:color w:val="FF640D"/>
          <w:spacing w:val="-4"/>
        </w:rPr>
        <w:t>Young</w:t>
      </w:r>
    </w:p>
    <w:p>
      <w:pPr>
        <w:spacing w:before="64"/>
        <w:ind w:left="4505" w:right="0" w:firstLine="0"/>
        <w:jc w:val="center"/>
        <w:rPr>
          <w:rFonts w:ascii="Calibri"/>
          <w:sz w:val="22"/>
        </w:rPr>
      </w:pPr>
      <w:r>
        <w:rPr>
          <w:rFonts w:ascii="Calibri"/>
          <w:w w:val="125"/>
          <w:sz w:val="22"/>
        </w:rPr>
        <w:t>Education</w:t>
      </w:r>
      <w:r>
        <w:rPr>
          <w:rFonts w:ascii="Calibri"/>
          <w:spacing w:val="14"/>
          <w:w w:val="125"/>
          <w:sz w:val="22"/>
        </w:rPr>
        <w:t> </w:t>
      </w:r>
      <w:r>
        <w:rPr>
          <w:rFonts w:ascii="Calibri"/>
          <w:spacing w:val="-2"/>
          <w:w w:val="125"/>
          <w:sz w:val="22"/>
        </w:rPr>
        <w:t>Lawyer</w:t>
      </w:r>
    </w:p>
    <w:p>
      <w:pPr>
        <w:pStyle w:val="BodyText"/>
        <w:spacing w:before="136"/>
        <w:ind w:left="4505" w:right="1"/>
        <w:jc w:val="center"/>
      </w:pPr>
      <w:r>
        <w:rPr>
          <w:w w:val="105"/>
        </w:rPr>
        <w:t>Education</w:t>
      </w:r>
      <w:r>
        <w:rPr>
          <w:spacing w:val="-2"/>
          <w:w w:val="105"/>
        </w:rPr>
        <w:t> </w:t>
      </w:r>
      <w:r>
        <w:rPr>
          <w:w w:val="105"/>
        </w:rPr>
        <w:t>attorney</w:t>
      </w:r>
      <w:r>
        <w:rPr>
          <w:spacing w:val="-8"/>
          <w:w w:val="105"/>
        </w:rPr>
        <w:t> </w:t>
      </w:r>
      <w:r>
        <w:rPr>
          <w:w w:val="105"/>
        </w:rPr>
        <w:t>focused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student</w:t>
      </w:r>
      <w:r>
        <w:rPr>
          <w:spacing w:val="-1"/>
          <w:w w:val="105"/>
        </w:rPr>
        <w:t> </w:t>
      </w:r>
      <w:r>
        <w:rPr>
          <w:w w:val="105"/>
        </w:rPr>
        <w:t>rights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institutional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line="271" w:lineRule="auto" w:before="114"/>
        <w:ind w:left="4674" w:right="167" w:hanging="1"/>
        <w:jc w:val="center"/>
      </w:pPr>
      <w:r>
        <w:rPr>
          <w:w w:val="105"/>
        </w:rPr>
        <w:t>Education lawyer with 7 years of experience representing students, educators, and school</w:t>
      </w:r>
      <w:r>
        <w:rPr>
          <w:spacing w:val="-4"/>
          <w:w w:val="105"/>
        </w:rPr>
        <w:t> </w:t>
      </w:r>
      <w:r>
        <w:rPr>
          <w:w w:val="105"/>
        </w:rPr>
        <w:t>systems in legal</w:t>
      </w:r>
      <w:r>
        <w:rPr>
          <w:spacing w:val="-4"/>
          <w:w w:val="105"/>
        </w:rPr>
        <w:t> </w:t>
      </w:r>
      <w:r>
        <w:rPr>
          <w:w w:val="105"/>
        </w:rPr>
        <w:t>matters, including</w:t>
      </w:r>
      <w:r>
        <w:rPr>
          <w:spacing w:val="-4"/>
          <w:w w:val="105"/>
        </w:rPr>
        <w:t> </w:t>
      </w:r>
      <w:r>
        <w:rPr>
          <w:w w:val="105"/>
        </w:rPr>
        <w:t>Title IX, special</w:t>
      </w:r>
      <w:r>
        <w:rPr>
          <w:spacing w:val="-4"/>
          <w:w w:val="105"/>
        </w:rPr>
        <w:t> </w:t>
      </w:r>
      <w:r>
        <w:rPr>
          <w:w w:val="105"/>
        </w:rPr>
        <w:t>education, and disciplinary hearings. Knowledgeable in FERPA, IDEA, and academic law.</w:t>
      </w: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162263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color w:val="FF640D"/>
                                <w:w w:val="13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640D"/>
                                <w:spacing w:val="6"/>
                                <w:w w:val="13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640D"/>
                                <w:spacing w:val="-2"/>
                                <w:w w:val="13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76647pt;width:356.25pt;height:23.25pt;mso-position-horizontal-relative:page;mso-position-vertical-relative:paragraph;z-index:-15728640;mso-wrap-distance-left:0;mso-wrap-distance-right:0" type="#_x0000_t202" id="docshape1" filled="true" fillcolor="#ff640d" stroked="false">
                <v:textbox inset="0,0,0,0">
                  <w:txbxContent>
                    <w:p>
                      <w:pPr>
                        <w:spacing w:before="67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color w:val="FF640D"/>
                          <w:w w:val="130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color w:val="FF640D"/>
                          <w:spacing w:val="6"/>
                          <w:w w:val="13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color w:val="FF640D"/>
                          <w:spacing w:val="-2"/>
                          <w:w w:val="130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Heading2"/>
        <w:spacing w:line="316" w:lineRule="exact" w:before="2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2194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562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85762" y="45434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86112" y="3133724"/>
                            <a:ext cx="4762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57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257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68064" id="docshapegroup2" coordorigin="0,0" coordsize="11625,16860">
                <v:rect style="position:absolute;left:0;top:2355;width:4350;height:14505" id="docshape3" filled="true" fillcolor="#ff640d" stroked="false">
                  <v:fill type="solid"/>
                </v:rect>
                <v:rect style="position:absolute;left:4350;top:3180;width:7275;height:15" id="docshape4" filled="true" fillcolor="#000000" stroked="false">
                  <v:fill opacity="28783f" type="solid"/>
                </v:rect>
                <v:shape style="position:absolute;left:785;top:5070;width:275;height:317" type="#_x0000_t75" id="docshape5" stroked="false">
                  <v:imagedata r:id="rId5" o:title=""/>
                </v:shape>
                <v:shape style="position:absolute;left:766;top:5610;width:315;height:317" type="#_x0000_t75" id="docshape6" stroked="false">
                  <v:imagedata r:id="rId6" o:title=""/>
                </v:shape>
                <v:shape style="position:absolute;left:764;top:7155;width:75;height:1380" id="docshape7" coordorigin="765,7155" coordsize="75,1380" path="m840,8492l839,8487,835,8478,833,8474,826,8467,822,8465,813,8461,808,8460,797,8460,792,8461,783,8465,779,8467,772,8474,770,8478,766,8487,765,8492,765,8498,765,8503,766,8508,770,8517,772,8521,779,8528,783,8530,792,8534,797,8535,808,8535,813,8534,822,8530,826,8528,833,8521,835,8517,839,8508,840,8503,840,8492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47l839,7842,835,7833,833,7829,826,7822,822,7820,813,7816,808,7815,797,7815,792,7816,783,7820,779,7822,772,7829,770,7833,766,7842,765,7847,765,7853,765,7858,766,7863,770,7872,772,7876,779,7883,783,7885,792,7889,797,7890,808,7890,813,7889,822,7885,826,7883,833,7876,835,7872,839,7863,840,7858,840,7847xm840,7517l839,7512,835,7503,833,7499,826,7492,822,7490,813,7486,808,7485,797,7485,792,7486,783,7490,779,7492,772,7499,770,7503,766,7512,765,7517,765,7523,765,7528,766,7533,770,7542,772,7546,779,7553,783,7555,792,7559,797,7560,808,7560,813,7559,822,7555,826,7553,833,7546,835,7542,839,7533,840,7528,840,7517xm840,7187l839,7182,835,7173,833,7169,826,7162,822,7160,813,7156,808,7155,797,7155,792,7156,783,7160,779,7162,772,7169,770,7173,766,7182,765,7187,765,7193,765,7198,766,7203,770,7212,772,7216,779,7223,783,7225,792,7229,797,7230,808,7230,813,7229,822,7225,826,7223,833,7216,835,7212,839,7203,840,7198,840,7187xe" filled="true" fillcolor="#ffffff" stroked="false">
                  <v:path arrowok="t"/>
                  <v:fill type="solid"/>
                </v:shape>
                <v:shape style="position:absolute;left:5174;top:4935;width:75;height:1980" id="docshape8" coordorigin="5175,4935" coordsize="75,1980" path="m5250,6872l5249,6867,5245,6858,5243,6854,5236,6847,5232,6845,5223,6841,5218,6840,5207,6840,5202,6841,5193,6845,5189,6847,5182,6854,5180,6858,5176,6867,5175,6872,5175,6878,5175,6883,5176,6888,5180,6897,5182,6901,5189,6908,5193,6910,5202,6914,5207,6915,5218,6915,5223,6914,5232,6910,5236,6908,5243,6901,5245,6897,5249,6888,5250,6883,5250,6872xm5250,5777l5249,5772,5245,5763,5243,5759,5236,5752,5232,5750,5223,5746,5218,5745,5207,5745,5202,5746,5193,5750,5189,5752,5182,5759,5180,5763,5176,5772,5175,5777,5175,5783,5175,5788,5176,5793,5180,5802,5182,5806,5189,5813,5193,5815,5202,5819,5207,5820,5218,5820,5223,5819,5232,5815,5236,5813,5243,5806,5245,5802,5249,5793,5250,5788,5250,5777xm5250,5477l5249,5472,5245,5463,5243,5459,5236,5452,5232,5450,5223,5446,5218,5445,5207,5445,5202,5446,5193,5450,5189,5452,5182,5459,5180,5463,5176,5472,5175,5477,5175,5483,5175,5488,5176,5493,5180,5502,5182,5506,5189,5513,5193,5515,5202,5519,5207,5520,5218,5520,5223,5519,5232,5515,5236,5513,5243,5506,5245,5502,5249,5493,5250,5488,5250,5477xm5250,4967l5249,4962,5245,4953,5243,4949,5236,4942,5232,4940,5223,4936,5218,4935,5207,4935,5202,4936,5193,4940,5189,4942,5182,4949,5180,4953,5176,4962,5175,4967,5175,4973,5175,4978,5176,4983,5180,4992,5182,4996,5189,5003,5193,5005,5202,5009,5207,5010,5218,5010,5223,5009,5232,5005,5236,5003,5243,4996,5245,4992,5249,4983,5250,4978,5250,4967xe" filled="true" fillcolor="#000000" stroked="false">
                  <v:path arrowok="t"/>
                  <v:fill type="solid"/>
                </v:shape>
                <v:rect style="position:absolute;left:0;top:0;width:4350;height:2355" id="docshape9" filled="true" fillcolor="#ff640d" stroked="false">
                  <v:fill opacity="32899f" type="solid"/>
                </v:rect>
                <v:shape style="position:absolute;left:720;top:765;width:2910;height:2745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P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30"/>
        </w:rPr>
        <w:t>E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R</w:t>
      </w:r>
      <w:r>
        <w:rPr>
          <w:color w:val="FFFFFF"/>
          <w:spacing w:val="-19"/>
          <w:w w:val="130"/>
        </w:rPr>
        <w:t> </w:t>
      </w:r>
      <w:r>
        <w:rPr>
          <w:color w:val="FFFFFF"/>
          <w:w w:val="130"/>
        </w:rPr>
        <w:t>S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9"/>
          <w:w w:val="130"/>
        </w:rPr>
        <w:t> </w:t>
      </w:r>
      <w:r>
        <w:rPr>
          <w:color w:val="FFFFFF"/>
          <w:w w:val="130"/>
        </w:rPr>
        <w:t>N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0"/>
          <w:w w:val="130"/>
        </w:rPr>
        <w:t> </w:t>
      </w:r>
      <w:r>
        <w:rPr>
          <w:color w:val="FFFFFF"/>
          <w:spacing w:val="-10"/>
          <w:w w:val="130"/>
        </w:rPr>
        <w:t>L</w:t>
      </w:r>
    </w:p>
    <w:p>
      <w:pPr>
        <w:spacing w:line="316" w:lineRule="exact" w:before="0"/>
        <w:ind w:left="107" w:right="0" w:firstLine="0"/>
        <w:jc w:val="left"/>
        <w:rPr>
          <w:rFonts w:ascii="Calibri"/>
          <w:sz w:val="26"/>
        </w:rPr>
      </w:pPr>
      <w:r>
        <w:rPr>
          <w:rFonts w:ascii="Calibri"/>
          <w:color w:val="FFFFFF"/>
          <w:w w:val="120"/>
          <w:sz w:val="26"/>
        </w:rPr>
        <w:t>I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N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F</w:t>
      </w:r>
      <w:r>
        <w:rPr>
          <w:rFonts w:ascii="Calibri"/>
          <w:color w:val="FFFFFF"/>
          <w:spacing w:val="-13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O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R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M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A</w:t>
      </w:r>
      <w:r>
        <w:rPr>
          <w:rFonts w:ascii="Calibri"/>
          <w:color w:val="FFFFFF"/>
          <w:spacing w:val="-2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T</w:t>
      </w:r>
      <w:r>
        <w:rPr>
          <w:rFonts w:ascii="Calibri"/>
          <w:color w:val="FFFFFF"/>
          <w:spacing w:val="-10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I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w w:val="120"/>
          <w:sz w:val="26"/>
        </w:rPr>
        <w:t>O</w:t>
      </w:r>
      <w:r>
        <w:rPr>
          <w:rFonts w:ascii="Calibri"/>
          <w:color w:val="FFFFFF"/>
          <w:spacing w:val="-9"/>
          <w:w w:val="120"/>
          <w:sz w:val="26"/>
        </w:rPr>
        <w:t> </w:t>
      </w:r>
      <w:r>
        <w:rPr>
          <w:rFonts w:ascii="Calibri"/>
          <w:color w:val="FFFFFF"/>
          <w:spacing w:val="-10"/>
          <w:w w:val="120"/>
          <w:sz w:val="26"/>
        </w:rPr>
        <w:t>N</w:t>
      </w:r>
    </w:p>
    <w:p>
      <w:pPr>
        <w:pStyle w:val="BodyText"/>
        <w:spacing w:before="59"/>
        <w:rPr>
          <w:rFonts w:ascii="Calibri"/>
          <w:sz w:val="26"/>
        </w:rPr>
      </w:pPr>
    </w:p>
    <w:p>
      <w:pPr>
        <w:spacing w:line="619" w:lineRule="auto" w:before="0"/>
        <w:ind w:left="944" w:right="0" w:firstLine="0"/>
        <w:jc w:val="left"/>
        <w:rPr>
          <w:sz w:val="18"/>
        </w:rPr>
      </w:pPr>
      <w:hyperlink r:id="rId8">
        <w:r>
          <w:rPr>
            <w:color w:val="FFFFFF"/>
            <w:spacing w:val="-2"/>
            <w:w w:val="105"/>
            <w:sz w:val="18"/>
          </w:rPr>
          <w:t>devon.young@email.com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ST</w:t>
      </w:r>
    </w:p>
    <w:p>
      <w:pPr>
        <w:pStyle w:val="BodyText"/>
        <w:spacing w:before="29"/>
        <w:rPr>
          <w:sz w:val="18"/>
        </w:rPr>
      </w:pPr>
    </w:p>
    <w:p>
      <w:pPr>
        <w:pStyle w:val="Heading2"/>
      </w:pPr>
      <w:r>
        <w:rPr>
          <w:color w:val="FFFFFF"/>
          <w:w w:val="135"/>
        </w:rPr>
        <w:t>K</w:t>
      </w:r>
      <w:r>
        <w:rPr>
          <w:color w:val="FFFFFF"/>
          <w:spacing w:val="-24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26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10"/>
          <w:w w:val="135"/>
        </w:rPr>
        <w:t>  </w:t>
      </w:r>
      <w:r>
        <w:rPr>
          <w:color w:val="FFFFFF"/>
          <w:w w:val="135"/>
        </w:rPr>
        <w:t>S</w:t>
      </w:r>
      <w:r>
        <w:rPr>
          <w:color w:val="FFFFFF"/>
          <w:spacing w:val="-23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24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23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23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27"/>
          <w:w w:val="135"/>
        </w:rPr>
        <w:t> </w:t>
      </w:r>
      <w:r>
        <w:rPr>
          <w:color w:val="FFFFFF"/>
          <w:spacing w:val="-10"/>
          <w:w w:val="135"/>
        </w:rPr>
        <w:t>S</w:t>
      </w:r>
    </w:p>
    <w:p>
      <w:pPr>
        <w:pStyle w:val="BodyText"/>
        <w:spacing w:before="14"/>
        <w:rPr>
          <w:rFonts w:ascii="Calibri"/>
          <w:sz w:val="26"/>
        </w:rPr>
      </w:pPr>
    </w:p>
    <w:p>
      <w:pPr>
        <w:spacing w:before="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Education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law</w:t>
      </w:r>
    </w:p>
    <w:p>
      <w:pPr>
        <w:spacing w:line="379" w:lineRule="auto" w:before="106"/>
        <w:ind w:left="776" w:right="357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Title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IX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investigations </w:t>
      </w:r>
      <w:r>
        <w:rPr>
          <w:color w:val="FFFFFF"/>
          <w:w w:val="105"/>
          <w:sz w:val="18"/>
        </w:rPr>
        <w:t>IEP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representation</w:t>
      </w:r>
    </w:p>
    <w:p>
      <w:pPr>
        <w:spacing w:line="379" w:lineRule="auto" w:before="0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Student discipline hearings School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policy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January</w:t>
      </w:r>
      <w:r>
        <w:rPr>
          <w:rFonts w:ascii="Calibri"/>
          <w:spacing w:val="-5"/>
          <w:w w:val="125"/>
        </w:rPr>
        <w:t> </w:t>
      </w:r>
      <w:r>
        <w:rPr>
          <w:rFonts w:ascii="Calibri"/>
          <w:w w:val="125"/>
        </w:rPr>
        <w:t>2019</w:t>
      </w:r>
      <w:r>
        <w:rPr>
          <w:rFonts w:ascii="Calibri"/>
          <w:spacing w:val="-4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-4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line="271" w:lineRule="auto" w:before="92"/>
        <w:ind w:left="107" w:right="19"/>
      </w:pPr>
      <w:r>
        <w:rPr>
          <w:w w:val="105"/>
        </w:rPr>
        <w:t>Legal Counsel </w:t>
      </w:r>
      <w:r>
        <w:rPr>
          <w:w w:val="135"/>
        </w:rPr>
        <w:t>– </w:t>
      </w:r>
      <w:r>
        <w:rPr>
          <w:w w:val="105"/>
        </w:rPr>
        <w:t>School District Legal Services </w:t>
      </w:r>
      <w:r>
        <w:rPr>
          <w:w w:val="85"/>
        </w:rPr>
        <w:t>| </w:t>
      </w:r>
      <w:r>
        <w:rPr>
          <w:w w:val="105"/>
        </w:rPr>
        <w:t>Northeast Education Cooperative, Hartford,</w:t>
      </w:r>
      <w:r>
        <w:rPr>
          <w:spacing w:val="-7"/>
          <w:w w:val="105"/>
        </w:rPr>
        <w:t> </w:t>
      </w:r>
      <w:r>
        <w:rPr>
          <w:w w:val="105"/>
        </w:rPr>
        <w:t>CT</w:t>
      </w:r>
    </w:p>
    <w:p>
      <w:pPr>
        <w:pStyle w:val="BodyText"/>
        <w:spacing w:line="271" w:lineRule="auto" w:before="180"/>
        <w:ind w:left="776" w:right="19"/>
      </w:pPr>
      <w:r>
        <w:rPr>
          <w:w w:val="105"/>
        </w:rPr>
        <w:t>Advised 15+ public school</w:t>
      </w:r>
      <w:r>
        <w:rPr>
          <w:spacing w:val="-1"/>
          <w:w w:val="105"/>
        </w:rPr>
        <w:t> </w:t>
      </w:r>
      <w:r>
        <w:rPr>
          <w:w w:val="105"/>
        </w:rPr>
        <w:t>districts on policy</w:t>
      </w:r>
      <w:r>
        <w:rPr>
          <w:spacing w:val="-1"/>
          <w:w w:val="105"/>
        </w:rPr>
        <w:t> </w:t>
      </w:r>
      <w:r>
        <w:rPr>
          <w:w w:val="105"/>
        </w:rPr>
        <w:t>changes, state mandates, and student</w:t>
      </w:r>
      <w:r>
        <w:rPr>
          <w:spacing w:val="-7"/>
          <w:w w:val="105"/>
        </w:rPr>
        <w:t> </w:t>
      </w:r>
      <w:r>
        <w:rPr>
          <w:w w:val="105"/>
        </w:rPr>
        <w:t>rights</w:t>
      </w:r>
    </w:p>
    <w:p>
      <w:pPr>
        <w:pStyle w:val="BodyText"/>
        <w:spacing w:line="408" w:lineRule="auto" w:before="91"/>
        <w:ind w:left="776" w:right="34"/>
      </w:pPr>
      <w:r>
        <w:rPr>
          <w:w w:val="105"/>
        </w:rPr>
        <w:t>Represented schools in due process hearings involving special education cases</w:t>
      </w:r>
      <w:r>
        <w:rPr>
          <w:spacing w:val="40"/>
          <w:w w:val="105"/>
        </w:rPr>
        <w:t> </w:t>
      </w:r>
      <w:r>
        <w:rPr>
          <w:w w:val="105"/>
        </w:rPr>
        <w:t>Conducted Title IX investigations and training for faculty</w:t>
      </w:r>
    </w:p>
    <w:p>
      <w:pPr>
        <w:pStyle w:val="BodyText"/>
        <w:spacing w:before="86"/>
        <w:ind w:left="107"/>
        <w:rPr>
          <w:rFonts w:ascii="Calibri"/>
        </w:rPr>
      </w:pPr>
      <w:r>
        <w:rPr>
          <w:rFonts w:ascii="Calibri"/>
          <w:w w:val="125"/>
        </w:rPr>
        <w:t>September</w:t>
      </w:r>
      <w:r>
        <w:rPr>
          <w:rFonts w:ascii="Calibri"/>
          <w:spacing w:val="7"/>
          <w:w w:val="125"/>
        </w:rPr>
        <w:t> </w:t>
      </w:r>
      <w:r>
        <w:rPr>
          <w:rFonts w:ascii="Calibri"/>
          <w:w w:val="125"/>
        </w:rPr>
        <w:t>2016</w:t>
      </w:r>
      <w:r>
        <w:rPr>
          <w:rFonts w:ascii="Calibri"/>
          <w:spacing w:val="8"/>
          <w:w w:val="125"/>
        </w:rPr>
        <w:t> </w:t>
      </w:r>
      <w:r>
        <w:rPr>
          <w:rFonts w:ascii="Calibri"/>
          <w:w w:val="125"/>
        </w:rPr>
        <w:t>-</w:t>
      </w:r>
      <w:r>
        <w:rPr>
          <w:rFonts w:ascii="Calibri"/>
          <w:spacing w:val="8"/>
          <w:w w:val="125"/>
        </w:rPr>
        <w:t> </w:t>
      </w:r>
      <w:r>
        <w:rPr>
          <w:rFonts w:ascii="Calibri"/>
          <w:w w:val="125"/>
        </w:rPr>
        <w:t>December</w:t>
      </w:r>
      <w:r>
        <w:rPr>
          <w:rFonts w:ascii="Calibri"/>
          <w:spacing w:val="8"/>
          <w:w w:val="125"/>
        </w:rPr>
        <w:t> </w:t>
      </w:r>
      <w:r>
        <w:rPr>
          <w:rFonts w:ascii="Calibri"/>
          <w:spacing w:val="-4"/>
          <w:w w:val="125"/>
        </w:rPr>
        <w:t>2018</w:t>
      </w:r>
    </w:p>
    <w:p>
      <w:pPr>
        <w:pStyle w:val="BodyText"/>
        <w:spacing w:before="92"/>
        <w:ind w:left="107"/>
      </w:pPr>
      <w:r>
        <w:rPr/>
        <w:t>Staff</w:t>
      </w:r>
      <w:r>
        <w:rPr>
          <w:spacing w:val="-2"/>
        </w:rPr>
        <w:t> </w:t>
      </w:r>
      <w:r>
        <w:rPr/>
        <w:t>Attorney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Education</w:t>
      </w:r>
      <w:r>
        <w:rPr>
          <w:spacing w:val="11"/>
        </w:rPr>
        <w:t> </w:t>
      </w:r>
      <w:r>
        <w:rPr/>
        <w:t>Rights</w:t>
      </w:r>
      <w:r>
        <w:rPr>
          <w:spacing w:val="10"/>
        </w:rPr>
        <w:t> </w:t>
      </w:r>
      <w:r>
        <w:rPr/>
        <w:t>Group,</w:t>
      </w:r>
      <w:r>
        <w:rPr>
          <w:spacing w:val="11"/>
        </w:rPr>
        <w:t> </w:t>
      </w:r>
      <w:r>
        <w:rPr/>
        <w:t>Hartford,</w:t>
      </w:r>
      <w:r>
        <w:rPr>
          <w:spacing w:val="11"/>
        </w:rPr>
        <w:t> </w:t>
      </w:r>
      <w:r>
        <w:rPr>
          <w:spacing w:val="-5"/>
        </w:rPr>
        <w:t>CT</w:t>
      </w:r>
    </w:p>
    <w:p>
      <w:pPr>
        <w:pStyle w:val="BodyText"/>
        <w:spacing w:before="33"/>
      </w:pPr>
    </w:p>
    <w:p>
      <w:pPr>
        <w:pStyle w:val="BodyText"/>
        <w:ind w:left="776"/>
      </w:pPr>
      <w:r>
        <w:rPr/>
        <w:t>Advocated</w:t>
      </w:r>
      <w:r>
        <w:rPr>
          <w:spacing w:val="30"/>
        </w:rPr>
        <w:t> </w:t>
      </w:r>
      <w:r>
        <w:rPr/>
        <w:t>for</w:t>
      </w:r>
      <w:r>
        <w:rPr>
          <w:spacing w:val="23"/>
        </w:rPr>
        <w:t> </w:t>
      </w:r>
      <w:r>
        <w:rPr/>
        <w:t>students</w:t>
      </w:r>
      <w:r>
        <w:rPr>
          <w:spacing w:val="21"/>
        </w:rPr>
        <w:t> </w:t>
      </w:r>
      <w:r>
        <w:rPr/>
        <w:t>with</w:t>
      </w:r>
      <w:r>
        <w:rPr>
          <w:spacing w:val="30"/>
        </w:rPr>
        <w:t> </w:t>
      </w:r>
      <w:r>
        <w:rPr/>
        <w:t>disabilities</w:t>
      </w:r>
      <w:r>
        <w:rPr>
          <w:spacing w:val="30"/>
        </w:rPr>
        <w:t> </w:t>
      </w:r>
      <w:r>
        <w:rPr/>
        <w:t>during</w:t>
      </w:r>
      <w:r>
        <w:rPr>
          <w:spacing w:val="30"/>
        </w:rPr>
        <w:t> </w:t>
      </w:r>
      <w:r>
        <w:rPr/>
        <w:t>IEP</w:t>
      </w:r>
      <w:r>
        <w:rPr>
          <w:spacing w:val="23"/>
        </w:rPr>
        <w:t> </w:t>
      </w:r>
      <w:r>
        <w:rPr/>
        <w:t>meetings</w:t>
      </w:r>
      <w:r>
        <w:rPr>
          <w:spacing w:val="30"/>
        </w:rPr>
        <w:t> </w:t>
      </w:r>
      <w:r>
        <w:rPr/>
        <w:t>and</w:t>
      </w:r>
      <w:r>
        <w:rPr>
          <w:spacing w:val="31"/>
        </w:rPr>
        <w:t> </w:t>
      </w:r>
      <w:r>
        <w:rPr>
          <w:spacing w:val="-2"/>
        </w:rPr>
        <w:t>suspensions</w:t>
      </w:r>
    </w:p>
    <w:p>
      <w:pPr>
        <w:pStyle w:val="BodyText"/>
        <w:spacing w:before="47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952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color w:val="FF640D"/>
                                <w:spacing w:val="-2"/>
                                <w:w w:val="125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3.25pt;mso-position-horizontal-relative:char;mso-position-vertical-relative:line" type="#_x0000_t202" id="docshape11" filled="true" fillcolor="#ff640d" stroked="false">
                <w10:anchorlock/>
                <v:textbox inset="0,0,0,0">
                  <w:txbxContent>
                    <w:p>
                      <w:pPr>
                        <w:spacing w:before="67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color w:val="FF640D"/>
                          <w:spacing w:val="-2"/>
                          <w:w w:val="125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107"/>
      </w:pPr>
      <w:r>
        <w:rPr/>
        <w:t>Juris</w:t>
      </w:r>
      <w:r>
        <w:rPr>
          <w:spacing w:val="23"/>
        </w:rPr>
        <w:t> </w:t>
      </w:r>
      <w:r>
        <w:rPr/>
        <w:t>Doctor</w:t>
      </w:r>
      <w:r>
        <w:rPr>
          <w:spacing w:val="17"/>
        </w:rPr>
        <w:t> </w:t>
      </w:r>
      <w:r>
        <w:rPr>
          <w:spacing w:val="-2"/>
        </w:rPr>
        <w:t>(J.D.)</w:t>
      </w:r>
    </w:p>
    <w:p>
      <w:pPr>
        <w:pStyle w:val="BodyText"/>
        <w:spacing w:before="115"/>
        <w:ind w:left="107"/>
      </w:pPr>
      <w:r>
        <w:rPr/>
        <w:t>University</w:t>
      </w:r>
      <w:r>
        <w:rPr>
          <w:spacing w:val="13"/>
        </w:rPr>
        <w:t> </w:t>
      </w:r>
      <w:r>
        <w:rPr/>
        <w:t>of</w:t>
      </w:r>
      <w:r>
        <w:rPr>
          <w:spacing w:val="15"/>
        </w:rPr>
        <w:t> </w:t>
      </w:r>
      <w:r>
        <w:rPr/>
        <w:t>Connecticut</w:t>
      </w:r>
      <w:r>
        <w:rPr>
          <w:spacing w:val="22"/>
        </w:rPr>
        <w:t> </w:t>
      </w:r>
      <w:r>
        <w:rPr/>
        <w:t>School</w:t>
      </w:r>
      <w:r>
        <w:rPr>
          <w:spacing w:val="13"/>
        </w:rPr>
        <w:t> </w:t>
      </w:r>
      <w:r>
        <w:rPr/>
        <w:t>of</w:t>
      </w:r>
      <w:r>
        <w:rPr>
          <w:spacing w:val="15"/>
        </w:rPr>
        <w:t> </w:t>
      </w:r>
      <w:r>
        <w:rPr/>
        <w:t>Law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2016</w:t>
      </w:r>
      <w:r>
        <w:rPr>
          <w:spacing w:val="22"/>
        </w:rPr>
        <w:t> </w:t>
      </w:r>
      <w:r>
        <w:rPr>
          <w:spacing w:val="-10"/>
          <w:w w:val="85"/>
        </w:rPr>
        <w:t>|</w:t>
      </w:r>
    </w:p>
    <w:p>
      <w:pPr>
        <w:pStyle w:val="BodyText"/>
        <w:spacing w:before="48"/>
      </w:pPr>
    </w:p>
    <w:p>
      <w:pPr>
        <w:pStyle w:val="BodyText"/>
        <w:spacing w:line="386" w:lineRule="auto"/>
        <w:ind w:left="107" w:right="3959"/>
      </w:pPr>
      <w:r>
        <w:rPr>
          <w:w w:val="105"/>
        </w:rPr>
        <w:t>Bachelor of Arts in Psychology Fairfield University</w:t>
      </w:r>
      <w:r>
        <w:rPr>
          <w:spacing w:val="-4"/>
          <w:w w:val="105"/>
        </w:rPr>
        <w:t> </w:t>
      </w:r>
      <w:r>
        <w:rPr>
          <w:w w:val="85"/>
        </w:rPr>
        <w:t>| </w:t>
      </w:r>
      <w:r>
        <w:rPr>
          <w:w w:val="105"/>
        </w:rPr>
        <w:t>2012 </w:t>
      </w:r>
      <w:r>
        <w:rPr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140" w:space="1268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4505"/>
      <w:jc w:val="center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devon.you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2026-02-28T12:15:09Z</dcterms:created>
  <dcterms:modified xsi:type="dcterms:W3CDTF">2026-02-28T12:15:09Z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