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pStyle w:val="Heading1"/>
      </w:pPr>
      <w:r>
        <w:rPr>
          <w:color w:val="FFFFFF"/>
          <w:w w:val="130"/>
        </w:rPr>
        <w:t>Real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Estate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Investment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Analyst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Analytical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pacing w:val="2"/>
          <w:sz w:val="16"/>
        </w:rPr>
        <w:t>Professional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pacing w:val="2"/>
          <w:sz w:val="16"/>
        </w:rPr>
        <w:t>focused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pacing w:val="2"/>
          <w:sz w:val="16"/>
        </w:rPr>
        <w:t>on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pacing w:val="2"/>
          <w:sz w:val="16"/>
        </w:rPr>
        <w:t>property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pacing w:val="2"/>
          <w:sz w:val="16"/>
        </w:rPr>
        <w:t>investment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pacing w:val="-2"/>
          <w:sz w:val="16"/>
        </w:rPr>
        <w:t>insights</w:t>
      </w:r>
    </w:p>
    <w:p>
      <w:pPr>
        <w:spacing w:line="271" w:lineRule="auto" w:before="24"/>
        <w:ind w:left="590" w:right="44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Investment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evaluating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real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portfolios.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financial modeling, market trend analysis, and ROI forecasting. Known for providing data-driven recommendations that lead to profitable property</w:t>
      </w:r>
      <w:r>
        <w:rPr>
          <w:color w:val="FFFFFF"/>
          <w:spacing w:val="-14"/>
          <w:w w:val="105"/>
          <w:sz w:val="16"/>
        </w:rPr>
        <w:t> </w:t>
      </w:r>
      <w:r>
        <w:rPr>
          <w:color w:val="FFFFFF"/>
          <w:w w:val="105"/>
          <w:sz w:val="16"/>
        </w:rPr>
        <w:t>decisions.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79"/>
        <w:ind w:left="0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00BCA2"/>
          <w:w w:val="125"/>
        </w:rPr>
        <w:t>Personal</w:t>
      </w:r>
      <w:r>
        <w:rPr>
          <w:rFonts w:ascii="Calibri"/>
          <w:color w:val="00BCA2"/>
          <w:spacing w:val="60"/>
          <w:w w:val="125"/>
        </w:rPr>
        <w:t> </w:t>
      </w:r>
      <w:r>
        <w:rPr>
          <w:rFonts w:ascii="Calibri"/>
          <w:color w:val="00BCA2"/>
          <w:spacing w:val="-2"/>
          <w:w w:val="125"/>
        </w:rPr>
        <w:t>Information</w:t>
      </w:r>
      <w:r>
        <w:rPr>
          <w:rFonts w:ascii="Calibri"/>
          <w:color w:val="00BCA2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ind w:left="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70085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(555)</w:t>
      </w:r>
      <w:r>
        <w:rPr>
          <w:color w:val="424242"/>
          <w:spacing w:val="27"/>
        </w:rPr>
        <w:t> </w:t>
      </w:r>
      <w:r>
        <w:rPr>
          <w:color w:val="424242"/>
        </w:rPr>
        <w:t>102-</w:t>
      </w:r>
      <w:r>
        <w:rPr>
          <w:color w:val="424242"/>
          <w:spacing w:val="-4"/>
        </w:rPr>
        <w:t>4050</w:t>
      </w:r>
    </w:p>
    <w:p>
      <w:pPr>
        <w:pStyle w:val="BodyText"/>
        <w:spacing w:line="266" w:lineRule="auto" w:before="104"/>
        <w:ind w:left="347" w:right="98"/>
      </w:pPr>
      <w:r>
        <w:rPr/>
        <w:br w:type="column"/>
      </w:r>
      <w:r>
        <w:rPr>
          <w:w w:val="110"/>
        </w:rPr>
        <w:t>REAL ESTATE INVESTMENT ANALYST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CAPITAL PROPERTIES INC., CHARLOTTE, NC JULY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133" w:space="1255"/>
            <w:col w:w="7966"/>
          </w:cols>
        </w:sectPr>
      </w:pPr>
    </w:p>
    <w:p>
      <w:pPr>
        <w:pStyle w:val="BodyText"/>
        <w:spacing w:line="504" w:lineRule="auto"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averyharris@email.com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8" w:lineRule="auto" w:before="180" w:after="0"/>
        <w:ind w:left="644" w:right="47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Evaluated 60+ properties annually, identifying underperforming assets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repositioning opportunities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7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Built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forma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$20M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acquisitions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stakeholders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892" w:space="737"/>
            <w:col w:w="7725"/>
          </w:cols>
        </w:sectPr>
      </w:pPr>
    </w:p>
    <w:p>
      <w:pPr>
        <w:pStyle w:val="BodyText"/>
        <w:spacing w:before="62"/>
        <w:ind w:left="0"/>
      </w:pP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00BCA2"/>
          <w:w w:val="130"/>
        </w:rPr>
        <w:t>Key</w:t>
      </w:r>
      <w:r>
        <w:rPr>
          <w:rFonts w:ascii="Calibri"/>
          <w:color w:val="00BCA2"/>
          <w:spacing w:val="11"/>
          <w:w w:val="130"/>
        </w:rPr>
        <w:t> </w:t>
      </w:r>
      <w:r>
        <w:rPr>
          <w:rFonts w:ascii="Calibri"/>
          <w:color w:val="00BCA2"/>
          <w:spacing w:val="-2"/>
          <w:w w:val="130"/>
        </w:rPr>
        <w:t>Skills</w:t>
      </w:r>
    </w:p>
    <w:p>
      <w:pPr>
        <w:pStyle w:val="BodyText"/>
        <w:spacing w:line="266" w:lineRule="auto" w:before="47"/>
        <w:ind w:left="51" w:right="2187"/>
      </w:pPr>
      <w:r>
        <w:rPr/>
        <w:br w:type="column"/>
      </w:r>
      <w:r>
        <w:rPr>
          <w:w w:val="110"/>
        </w:rPr>
        <w:t>FINANCIAL ANALYST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TERRAVEST GROUP, CHARLOTTE, NC AUGUST 2019 </w:t>
      </w:r>
      <w:r>
        <w:rPr>
          <w:w w:val="130"/>
        </w:rPr>
        <w:t>– </w:t>
      </w:r>
      <w:r>
        <w:rPr>
          <w:w w:val="110"/>
        </w:rPr>
        <w:t>JUNE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960" w:space="2723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5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198361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618988pt;width:6.0pt;height:3.75pt;mso-position-horizontal-relative:page;mso-position-vertical-relative:paragraph;z-index:-15777792" id="docshape1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Asset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valuation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90896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7244pt;width:6.0pt;height:3.75pt;mso-position-horizontal-relative:page;mso-position-vertical-relative:paragraph;z-index:-15777280" id="docshape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Capital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expenditure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90896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7242pt;width:6.0pt;height:3.75pt;mso-position-horizontal-relative:page;mso-position-vertical-relative:paragraph;z-index:-15776768" id="docshape3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Cost-benefit</w:t>
      </w:r>
      <w:r>
        <w:rPr>
          <w:spacing w:val="51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86134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2241pt;width:6.0pt;height:3.75pt;mso-position-horizontal-relative:page;mso-position-vertical-relative:paragraph;z-index:-15776256" id="docshape4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Due</w:t>
      </w:r>
      <w:r>
        <w:rPr>
          <w:spacing w:val="14"/>
          <w:w w:val="110"/>
          <w:sz w:val="18"/>
        </w:rPr>
        <w:t> </w:t>
      </w:r>
      <w:r>
        <w:rPr>
          <w:spacing w:val="-2"/>
          <w:w w:val="110"/>
          <w:sz w:val="18"/>
        </w:rPr>
        <w:t>diligence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90896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7239pt;width:6.0pt;height:3.75pt;mso-position-horizontal-relative:page;mso-position-vertical-relative:paragraph;z-index:-15775744" id="docshape5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Excel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90896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7238pt;width:6.0pt;height:3.75pt;mso-position-horizontal-relative:page;mso-position-vertical-relative:paragraph;z-index:-15775232" id="docshape6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sz w:val="18"/>
        </w:rPr>
        <w:t>Financial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90896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7237pt;width:6.0pt;height:3.75pt;mso-position-horizontal-relative:page;mso-position-vertical-relative:paragraph;z-index:-15774720" id="docshape7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Market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86134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2251pt;width:6.0pt;height:3.75pt;mso-position-horizontal-relative:page;mso-position-vertical-relative:paragraph;z-index:-15774208" id="docshape8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Portfolio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41" w:after="0"/>
        <w:ind w:left="64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Modeled</w:t>
      </w:r>
      <w:r>
        <w:rPr>
          <w:spacing w:val="3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long-term</w:t>
      </w:r>
      <w:r>
        <w:rPr>
          <w:spacing w:val="3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returns</w:t>
      </w:r>
      <w:r>
        <w:rPr>
          <w:spacing w:val="3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3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mixed-use</w:t>
      </w:r>
      <w:r>
        <w:rPr>
          <w:spacing w:val="3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property</w:t>
      </w:r>
      <w:r>
        <w:rPr>
          <w:spacing w:val="2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investments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expansion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redevelopment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efforts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Analyzed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NOI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opportunities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existing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holdings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3183" w:space="444"/>
            <w:col w:w="7727"/>
          </w:cols>
        </w:sectPr>
      </w:pPr>
    </w:p>
    <w:p>
      <w:pPr>
        <w:pStyle w:val="BodyText"/>
        <w:spacing w:before="19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396073" y="8124824"/>
                            <a:ext cx="5172710" cy="258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580005">
                                <a:moveTo>
                                  <a:pt x="0" y="2579751"/>
                                </a:moveTo>
                                <a:lnTo>
                                  <a:pt x="5172110" y="25797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79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400299" y="2495549"/>
                            <a:ext cx="5168265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29275">
                                <a:moveTo>
                                  <a:pt x="5167883" y="5629274"/>
                                </a:moveTo>
                                <a:lnTo>
                                  <a:pt x="0" y="56292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29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705087" y="3467099"/>
                            <a:ext cx="7620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781175">
                                <a:moveTo>
                                  <a:pt x="76200" y="1733550"/>
                                </a:moveTo>
                                <a:lnTo>
                                  <a:pt x="0" y="1733550"/>
                                </a:lnTo>
                                <a:lnTo>
                                  <a:pt x="0" y="1781175"/>
                                </a:lnTo>
                                <a:lnTo>
                                  <a:pt x="76200" y="1781175"/>
                                </a:lnTo>
                                <a:lnTo>
                                  <a:pt x="76200" y="17335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571625"/>
                                </a:lnTo>
                                <a:lnTo>
                                  <a:pt x="76200" y="1571625"/>
                                </a:lnTo>
                                <a:lnTo>
                                  <a:pt x="76200" y="152400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314450"/>
                                </a:moveTo>
                                <a:lnTo>
                                  <a:pt x="0" y="1314450"/>
                                </a:lnTo>
                                <a:lnTo>
                                  <a:pt x="0" y="1362075"/>
                                </a:lnTo>
                                <a:lnTo>
                                  <a:pt x="76200" y="1362075"/>
                                </a:lnTo>
                                <a:lnTo>
                                  <a:pt x="76200" y="13144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9" coordorigin="0,0" coordsize="11919,16858">
                <v:rect style="position:absolute;left:3773;top:12795;width:8146;height:4063" id="docshape10" filled="true" fillcolor="#00bca2" stroked="false">
                  <v:fill opacity="32899f" type="solid"/>
                </v:rect>
                <v:rect style="position:absolute;left:0;top:0;width:11919;height:3930" id="docshape11" filled="true" fillcolor="#424242" stroked="false">
                  <v:fill type="solid"/>
                </v:rect>
                <v:rect style="position:absolute;left:3780;top:3930;width:8139;height:8865" id="docshape12" filled="true" fillcolor="#00bca2" stroked="false">
                  <v:fill opacity="32899f" type="solid"/>
                </v:rect>
                <v:shape style="position:absolute;left:4259;top:5460;width:120;height:2805" id="docshape13" coordorigin="4260,5460" coordsize="120,2805" path="m4380,8190l4260,8190,4260,8265,4380,8265,4380,8190xm4380,7860l4260,7860,4260,7935,4380,7935,4380,7860xm4380,7530l4260,7530,4260,7605,4380,7605,4380,7530xm4380,6345l4260,6345,4260,6420,4380,6420,4380,6345xm4380,6015l4260,6015,4260,6090,4380,6090,4380,6015xm4380,5460l4260,5460,4260,5535,4380,5535,4380,5460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00BCA2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210" w:after="0"/>
        <w:ind w:left="646" w:right="871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Bachelor of Science in </w:t>
      </w:r>
      <w:r>
        <w:rPr>
          <w:spacing w:val="-2"/>
          <w:w w:val="105"/>
          <w:sz w:val="18"/>
        </w:rPr>
        <w:t>Finance</w:t>
      </w:r>
    </w:p>
    <w:p>
      <w:pPr>
        <w:pStyle w:val="BodyText"/>
        <w:spacing w:before="34"/>
        <w:ind w:left="0"/>
      </w:pPr>
    </w:p>
    <w:p>
      <w:pPr>
        <w:pStyle w:val="BodyText"/>
        <w:spacing w:line="276" w:lineRule="auto"/>
        <w:ind w:left="646" w:right="8019"/>
      </w:pPr>
      <w:r>
        <w:rPr/>
        <w:t>Wake Forest University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2019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2" w:right="9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averyharr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2026-02-15T13:03:48Z</dcterms:created>
  <dcterms:modified xsi:type="dcterms:W3CDTF">2026-02-15T13:03:48Z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