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146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32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47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3"/>
          <w:sz w:val="18"/>
        </w:rPr>
        <w:t> </w:t>
      </w:r>
      <w:hyperlink r:id="rId5">
        <w:r>
          <w:rPr>
            <w:color w:val="FFFFFF"/>
            <w:sz w:val="16"/>
          </w:rPr>
          <w:t>logan.hall@email.com</w:t>
        </w:r>
      </w:hyperlink>
      <w:r>
        <w:rPr>
          <w:color w:val="FFFFFF"/>
          <w:spacing w:val="49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3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9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3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33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28"/>
        <w:rPr>
          <w:sz w:val="16"/>
        </w:rPr>
      </w:pPr>
    </w:p>
    <w:p>
      <w:pPr>
        <w:spacing w:before="0"/>
        <w:ind w:left="138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Logan</w:t>
      </w:r>
      <w:r>
        <w:rPr>
          <w:rFonts w:ascii="Calibri"/>
          <w:b/>
          <w:color w:val="FFFFFF"/>
          <w:spacing w:val="59"/>
          <w:w w:val="15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Hall</w:t>
      </w:r>
    </w:p>
    <w:p>
      <w:pPr>
        <w:pStyle w:val="Heading2"/>
      </w:pPr>
      <w:r>
        <w:rPr>
          <w:color w:val="FFFFFF"/>
          <w:w w:val="130"/>
        </w:rPr>
        <w:t>Business</w:t>
      </w:r>
      <w:r>
        <w:rPr>
          <w:color w:val="FFFFFF"/>
          <w:spacing w:val="58"/>
          <w:w w:val="130"/>
        </w:rPr>
        <w:t> </w:t>
      </w:r>
      <w:r>
        <w:rPr>
          <w:color w:val="FFFFFF"/>
          <w:w w:val="130"/>
        </w:rPr>
        <w:t>Intelligence</w:t>
      </w:r>
      <w:r>
        <w:rPr>
          <w:color w:val="FFFFFF"/>
          <w:spacing w:val="58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spacing w:line="271" w:lineRule="auto" w:before="162"/>
        <w:ind w:left="401" w:right="283" w:firstLine="0"/>
        <w:jc w:val="left"/>
        <w:rPr>
          <w:sz w:val="16"/>
        </w:rPr>
      </w:pPr>
      <w:r>
        <w:rPr>
          <w:color w:val="FFFFFF"/>
          <w:w w:val="105"/>
          <w:sz w:val="16"/>
        </w:rPr>
        <w:t>Business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Intelligence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BI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solutions. 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dashboard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ETL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processes,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analytics.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insights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strategic </w:t>
      </w:r>
      <w:r>
        <w:rPr>
          <w:color w:val="FFFFFF"/>
          <w:spacing w:val="-2"/>
          <w:w w:val="105"/>
          <w:sz w:val="16"/>
        </w:rPr>
        <w:t>decisions.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108"/>
      </w:pPr>
      <w:r>
        <w:rPr>
          <w:color w:val="F5F5F5"/>
          <w:spacing w:val="-2"/>
          <w:w w:val="130"/>
        </w:rPr>
        <w:t>EDUCATION</w:t>
      </w:r>
    </w:p>
    <w:p>
      <w:pPr>
        <w:pStyle w:val="BodyText"/>
        <w:spacing w:before="193"/>
        <w:rPr>
          <w:rFonts w:ascii="Calibri"/>
          <w:b/>
          <w:sz w:val="20"/>
        </w:rPr>
      </w:pPr>
    </w:p>
    <w:p>
      <w:pPr>
        <w:pStyle w:val="BodyText"/>
        <w:spacing w:line="276" w:lineRule="auto"/>
        <w:ind w:left="233"/>
      </w:pPr>
      <w:r>
        <w:rPr>
          <w:w w:val="105"/>
        </w:rPr>
        <w:t>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Science in Information</w:t>
      </w:r>
      <w:r>
        <w:rPr>
          <w:spacing w:val="-3"/>
          <w:w w:val="105"/>
        </w:rPr>
        <w:t> </w:t>
      </w:r>
      <w:r>
        <w:rPr>
          <w:w w:val="105"/>
        </w:rPr>
        <w:t>Systems</w:t>
      </w:r>
    </w:p>
    <w:p>
      <w:pPr>
        <w:pStyle w:val="BodyText"/>
        <w:spacing w:before="76"/>
      </w:pPr>
    </w:p>
    <w:p>
      <w:pPr>
        <w:pStyle w:val="BodyText"/>
        <w:spacing w:line="276" w:lineRule="auto"/>
        <w:ind w:left="233"/>
      </w:pPr>
      <w:r>
        <w:rPr/>
        <w:t>University of Houston </w:t>
      </w:r>
      <w:r>
        <w:rPr>
          <w:w w:val="85"/>
        </w:rPr>
        <w:t>| </w:t>
      </w:r>
      <w:r>
        <w:rPr/>
        <w:t>Houston, </w:t>
      </w:r>
      <w:r>
        <w:rPr>
          <w:spacing w:val="-6"/>
        </w:rPr>
        <w:t>TX</w:t>
      </w:r>
    </w:p>
    <w:p>
      <w:pPr>
        <w:pStyle w:val="BodyText"/>
        <w:spacing w:line="193" w:lineRule="exact"/>
        <w:ind w:left="233"/>
      </w:pPr>
      <w:r>
        <w:rPr>
          <w:w w:val="105"/>
        </w:rPr>
        <w:t>May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</w:pPr>
    </w:p>
    <w:p>
      <w:pPr>
        <w:pStyle w:val="BodyText"/>
        <w:spacing w:before="176"/>
      </w:pPr>
    </w:p>
    <w:p>
      <w:pPr>
        <w:pStyle w:val="Heading1"/>
      </w:pPr>
      <w:r>
        <w:rPr>
          <w:color w:val="F5F5F5"/>
          <w:w w:val="135"/>
        </w:rPr>
        <w:t>KEY</w:t>
      </w:r>
      <w:r>
        <w:rPr>
          <w:color w:val="F5F5F5"/>
          <w:spacing w:val="-1"/>
          <w:w w:val="135"/>
        </w:rPr>
        <w:t> </w:t>
      </w:r>
      <w:r>
        <w:rPr>
          <w:color w:val="F5F5F5"/>
          <w:spacing w:val="-2"/>
          <w:w w:val="140"/>
        </w:rPr>
        <w:t>SKILLS</w:t>
      </w:r>
    </w:p>
    <w:p>
      <w:pPr>
        <w:spacing w:before="123"/>
        <w:ind w:left="66" w:right="0" w:firstLine="0"/>
        <w:jc w:val="left"/>
        <w:rPr>
          <w:rFonts w:ascii="Calibri"/>
          <w:b/>
          <w:sz w:val="20"/>
        </w:rPr>
      </w:pPr>
      <w:r>
        <w:rPr/>
        <w:br w:type="column"/>
      </w:r>
      <w:r>
        <w:rPr>
          <w:rFonts w:ascii="Calibri"/>
          <w:b/>
          <w:color w:val="00BCA2"/>
          <w:w w:val="130"/>
          <w:sz w:val="20"/>
        </w:rPr>
        <w:t>PROFESSIONAL</w:t>
      </w:r>
      <w:r>
        <w:rPr>
          <w:rFonts w:ascii="Calibri"/>
          <w:b/>
          <w:color w:val="00BCA2"/>
          <w:spacing w:val="30"/>
          <w:w w:val="130"/>
          <w:sz w:val="20"/>
        </w:rPr>
        <w:t> </w:t>
      </w:r>
      <w:r>
        <w:rPr>
          <w:rFonts w:ascii="Calibri"/>
          <w:b/>
          <w:color w:val="00BCA2"/>
          <w:spacing w:val="-2"/>
          <w:w w:val="130"/>
          <w:sz w:val="20"/>
        </w:rPr>
        <w:t>EXPERIENCE</w:t>
      </w:r>
    </w:p>
    <w:p>
      <w:pPr>
        <w:pStyle w:val="BodyText"/>
        <w:spacing w:line="266" w:lineRule="auto" w:before="151"/>
        <w:ind w:left="66" w:right="1612"/>
      </w:pPr>
      <w:r>
        <w:rPr>
          <w:w w:val="105"/>
        </w:rPr>
        <w:t>Business Intelligence Manager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Apex Retail Group </w:t>
      </w:r>
      <w:r>
        <w:rPr>
          <w:w w:val="85"/>
        </w:rPr>
        <w:t>|</w:t>
      </w:r>
      <w:r>
        <w:rPr>
          <w:w w:val="105"/>
        </w:rPr>
        <w:t> Houston, TX, February 2015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164" w:after="0"/>
        <w:ind w:left="568" w:right="896" w:hanging="298"/>
        <w:jc w:val="left"/>
        <w:rPr>
          <w:sz w:val="18"/>
        </w:rPr>
      </w:pPr>
      <w:r>
        <w:rPr>
          <w:w w:val="105"/>
          <w:sz w:val="18"/>
        </w:rPr>
        <w:t>Directed a team of 8 analysts, delivering BI solutions that increased profitability by 22% across multiple product lines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4" w:lineRule="auto" w:before="71" w:after="0"/>
        <w:ind w:left="568" w:right="980" w:hanging="298"/>
        <w:jc w:val="left"/>
        <w:rPr>
          <w:sz w:val="18"/>
        </w:rPr>
      </w:pPr>
      <w:r>
        <w:rPr>
          <w:sz w:val="18"/>
        </w:rPr>
        <w:t>Led</w:t>
      </w:r>
      <w:r>
        <w:rPr>
          <w:spacing w:val="40"/>
          <w:sz w:val="18"/>
        </w:rPr>
        <w:t> </w:t>
      </w:r>
      <w:r>
        <w:rPr>
          <w:sz w:val="18"/>
        </w:rPr>
        <w:t>migration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cloud-based</w:t>
      </w:r>
      <w:r>
        <w:rPr>
          <w:spacing w:val="40"/>
          <w:sz w:val="18"/>
        </w:rPr>
        <w:t> </w:t>
      </w:r>
      <w:r>
        <w:rPr>
          <w:sz w:val="18"/>
        </w:rPr>
        <w:t>analytics</w:t>
      </w:r>
      <w:r>
        <w:rPr>
          <w:spacing w:val="40"/>
          <w:sz w:val="18"/>
        </w:rPr>
        <w:t> </w:t>
      </w:r>
      <w:r>
        <w:rPr>
          <w:sz w:val="18"/>
        </w:rPr>
        <w:t>platform,</w:t>
      </w:r>
      <w:r>
        <w:rPr>
          <w:spacing w:val="40"/>
          <w:sz w:val="18"/>
        </w:rPr>
        <w:t> </w:t>
      </w:r>
      <w:r>
        <w:rPr>
          <w:sz w:val="18"/>
        </w:rPr>
        <w:t>improving</w:t>
      </w:r>
      <w:r>
        <w:rPr>
          <w:spacing w:val="40"/>
          <w:sz w:val="18"/>
        </w:rPr>
        <w:t> </w:t>
      </w:r>
      <w:r>
        <w:rPr>
          <w:sz w:val="18"/>
        </w:rPr>
        <w:t>data </w:t>
      </w:r>
      <w:r>
        <w:rPr>
          <w:w w:val="110"/>
          <w:sz w:val="18"/>
        </w:rPr>
        <w:t>accessibility and reducing infrastructure costs by $250K annually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59" w:after="0"/>
        <w:ind w:left="568" w:right="484" w:hanging="298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monitor KPIs,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faster decision-making cycles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973" w:space="505"/>
            <w:col w:w="7451"/>
          </w:cols>
        </w:sectPr>
      </w:pPr>
    </w:p>
    <w:p>
      <w:pPr>
        <w:pStyle w:val="BodyText"/>
        <w:spacing w:before="152"/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0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BI</w:t>
      </w:r>
      <w:r>
        <w:rPr>
          <w:spacing w:val="13"/>
          <w:sz w:val="18"/>
        </w:rPr>
        <w:t> </w:t>
      </w:r>
      <w:r>
        <w:rPr>
          <w:sz w:val="18"/>
        </w:rPr>
        <w:t>Platform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BodyText"/>
        <w:spacing w:line="266" w:lineRule="auto" w:before="136"/>
        <w:ind w:left="233" w:right="2415"/>
      </w:pPr>
      <w:r>
        <w:rPr/>
        <w:br w:type="column"/>
      </w:r>
      <w:r>
        <w:rPr/>
        <w:t>Senior</w:t>
      </w:r>
      <w:r>
        <w:rPr>
          <w:spacing w:val="37"/>
        </w:rPr>
        <w:t> </w:t>
      </w:r>
      <w:r>
        <w:rPr/>
        <w:t>BI</w:t>
      </w:r>
      <w:r>
        <w:rPr>
          <w:spacing w:val="34"/>
        </w:rPr>
        <w:t> </w:t>
      </w:r>
      <w:r>
        <w:rPr/>
        <w:t>Analyst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Summit</w:t>
      </w:r>
      <w:r>
        <w:rPr>
          <w:spacing w:val="40"/>
        </w:rPr>
        <w:t> </w:t>
      </w:r>
      <w:r>
        <w:rPr/>
        <w:t>Manufacturing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Houston,</w:t>
      </w:r>
      <w:r>
        <w:rPr>
          <w:spacing w:val="36"/>
        </w:rPr>
        <w:t> </w:t>
      </w:r>
      <w:r>
        <w:rPr/>
        <w:t>TX, June 2011 </w:t>
      </w:r>
      <w:r>
        <w:rPr>
          <w:w w:val="130"/>
        </w:rPr>
        <w:t>– </w:t>
      </w:r>
      <w:r>
        <w:rPr/>
        <w:t>February 2015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2717" w:space="594"/>
            <w:col w:w="7618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Dashboard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Governance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ETL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2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Performance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12" w:lineRule="exact" w:before="0" w:after="0"/>
        <w:ind w:left="529" w:right="0" w:hanging="296"/>
        <w:jc w:val="left"/>
        <w:rPr>
          <w:sz w:val="18"/>
        </w:rPr>
      </w:pPr>
      <w:r>
        <w:rPr>
          <w:spacing w:val="-6"/>
          <w:w w:val="110"/>
          <w:sz w:val="18"/>
        </w:rPr>
        <w:t>Team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85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ETL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processes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refresh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24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hours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26" w:after="0"/>
        <w:ind w:left="531" w:right="516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trend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identified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$3M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untapped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revenue </w:t>
      </w:r>
      <w:r>
        <w:rPr>
          <w:spacing w:val="-2"/>
          <w:w w:val="105"/>
          <w:sz w:val="18"/>
        </w:rPr>
        <w:t>opportunities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5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validation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504" w:space="1011"/>
            <w:col w:w="7414"/>
          </w:cols>
        </w:sectPr>
      </w:pPr>
    </w:p>
    <w:p>
      <w:pPr>
        <w:pStyle w:val="Heading1"/>
        <w:spacing w:before="7"/>
        <w:ind w:left="35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695587"/>
                            <a:ext cx="9525" cy="801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10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00662"/>
                                </a:lnTo>
                                <a:lnTo>
                                  <a:pt x="0" y="8010499"/>
                                </a:lnTo>
                                <a:lnTo>
                                  <a:pt x="9525" y="8010499"/>
                                </a:lnTo>
                                <a:lnTo>
                                  <a:pt x="9525" y="54006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95575">
                                <a:moveTo>
                                  <a:pt x="7568183" y="2695574"/>
                                </a:moveTo>
                                <a:lnTo>
                                  <a:pt x="0" y="2695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3559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695574"/>
                            <a:ext cx="9525" cy="461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610100">
                                <a:moveTo>
                                  <a:pt x="9524" y="4610099"/>
                                </a:moveTo>
                                <a:lnTo>
                                  <a:pt x="0" y="4610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61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98132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98132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70534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70534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shape style="position:absolute;left:3809;top:4245;width:15;height:12615" id="docshape2" coordorigin="3810,4245" coordsize="15,12615" path="m3825,4245l3810,4245,3810,12750,3810,16860,3825,16860,3825,12750,3825,4245xe" filled="true" fillcolor="#c18f00" stroked="false">
                  <v:path arrowok="t"/>
                  <v:fill type="solid"/>
                </v:shape>
                <v:rect style="position:absolute;left:0;top:0;width:11919;height:4245" id="docshape3" filled="true" fillcolor="#00bca2" stroked="false">
                  <v:fill type="solid"/>
                </v:rect>
                <v:shape style="position:absolute;left:11220;top:3710;width:699;height:550" id="docshape4" coordorigin="11220,3710" coordsize="699,550" path="m11918,4260l11220,4260,11918,3710,11918,4260xe" filled="true" fillcolor="#ffffff" stroked="false">
                  <v:path arrowok="t"/>
                  <v:fill type="solid"/>
                </v:shape>
                <v:rect style="position:absolute;left:3810;top:4245;width:15;height:7260" id="docshape5" filled="true" fillcolor="#c18f00" stroked="false">
                  <v:fill type="solid"/>
                </v:rect>
                <v:rect style="position:absolute;left:480;top:4695;width:3120;height:525" id="docshape6" filled="true" fillcolor="#00bca2" stroked="false">
                  <v:fill opacity="32899f" type="solid"/>
                </v:rect>
                <v:rect style="position:absolute;left:0;top:4695;width:480;height:525" id="docshape7" filled="true" fillcolor="#fae4cc" stroked="false">
                  <v:fill type="solid"/>
                </v:rect>
                <v:rect style="position:absolute;left:480;top:7410;width:3120;height:540" id="docshape8" filled="true" fillcolor="#00bca2" stroked="false">
                  <v:fill opacity="32899f" type="solid"/>
                </v:rect>
                <v:rect style="position:absolute;left:0;top:7410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0BCA2"/>
          <w:spacing w:val="-2"/>
          <w:w w:val="130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240" w:lineRule="auto" w:before="61" w:after="0"/>
        <w:ind w:left="3840" w:right="0" w:hanging="296"/>
        <w:jc w:val="left"/>
        <w:rPr>
          <w:sz w:val="18"/>
        </w:rPr>
      </w:pPr>
      <w:r>
        <w:rPr>
          <w:w w:val="105"/>
          <w:sz w:val="18"/>
        </w:rPr>
        <w:t>Tableau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Desktop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Professional: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Tableau,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40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138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2026-02-11T02:01:54Z</dcterms:created>
  <dcterms:modified xsi:type="dcterms:W3CDTF">2026-02-11T02:01:54Z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