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47" w:right="14" w:firstLine="0"/>
        <w:jc w:val="center"/>
        <w:rPr>
          <w:b/>
          <w:sz w:val="74"/>
        </w:rPr>
      </w:pPr>
      <w:r>
        <w:rPr>
          <w:color w:val="BC936D"/>
          <w:spacing w:val="11"/>
          <w:sz w:val="74"/>
        </w:rPr>
        <w:t>Rachel</w:t>
      </w:r>
      <w:r>
        <w:rPr>
          <w:color w:val="BC936D"/>
          <w:spacing w:val="35"/>
          <w:sz w:val="74"/>
        </w:rPr>
        <w:t> </w:t>
      </w:r>
      <w:r>
        <w:rPr>
          <w:b/>
          <w:color w:val="BC936D"/>
          <w:spacing w:val="9"/>
          <w:sz w:val="74"/>
        </w:rPr>
        <w:t>Frost</w:t>
      </w:r>
    </w:p>
    <w:p>
      <w:pPr>
        <w:spacing w:before="195"/>
        <w:ind w:left="4347" w:right="55" w:firstLine="0"/>
        <w:jc w:val="center"/>
        <w:rPr>
          <w:sz w:val="20"/>
        </w:rPr>
      </w:pPr>
      <w:r>
        <w:rPr>
          <w:color w:val="BC936D"/>
          <w:sz w:val="20"/>
        </w:rPr>
        <w:t>E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M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P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L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O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Y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E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E</w:t>
      </w:r>
      <w:r>
        <w:rPr>
          <w:color w:val="BC936D"/>
          <w:spacing w:val="31"/>
          <w:sz w:val="20"/>
        </w:rPr>
        <w:t>  </w:t>
      </w:r>
      <w:r>
        <w:rPr>
          <w:color w:val="BC936D"/>
          <w:sz w:val="20"/>
        </w:rPr>
        <w:t>R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E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L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A</w:t>
      </w:r>
      <w:r>
        <w:rPr>
          <w:color w:val="BC936D"/>
          <w:spacing w:val="-14"/>
          <w:sz w:val="20"/>
        </w:rPr>
        <w:t> </w:t>
      </w:r>
      <w:r>
        <w:rPr>
          <w:color w:val="BC936D"/>
          <w:sz w:val="20"/>
        </w:rPr>
        <w:t>T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I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O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N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S</w:t>
      </w:r>
      <w:r>
        <w:rPr>
          <w:color w:val="BC936D"/>
          <w:spacing w:val="31"/>
          <w:sz w:val="20"/>
        </w:rPr>
        <w:t>  </w:t>
      </w:r>
      <w:r>
        <w:rPr>
          <w:color w:val="BC936D"/>
          <w:sz w:val="20"/>
        </w:rPr>
        <w:t>S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P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E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C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I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A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L</w:t>
      </w:r>
      <w:r>
        <w:rPr>
          <w:color w:val="BC936D"/>
          <w:spacing w:val="2"/>
          <w:sz w:val="20"/>
        </w:rPr>
        <w:t> </w:t>
      </w:r>
      <w:r>
        <w:rPr>
          <w:color w:val="BC936D"/>
          <w:sz w:val="20"/>
        </w:rPr>
        <w:t>I</w:t>
      </w:r>
      <w:r>
        <w:rPr>
          <w:color w:val="BC936D"/>
          <w:spacing w:val="3"/>
          <w:sz w:val="20"/>
        </w:rPr>
        <w:t> </w:t>
      </w:r>
      <w:r>
        <w:rPr>
          <w:color w:val="BC936D"/>
          <w:sz w:val="20"/>
        </w:rPr>
        <w:t>S</w:t>
      </w:r>
      <w:r>
        <w:rPr>
          <w:color w:val="BC936D"/>
          <w:spacing w:val="2"/>
          <w:sz w:val="20"/>
        </w:rPr>
        <w:t> </w:t>
      </w:r>
      <w:r>
        <w:rPr>
          <w:color w:val="BC936D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Employee relations specialist with expertise in conflict resolution and workplace investigations</w:t>
      </w:r>
    </w:p>
    <w:p>
      <w:pPr>
        <w:spacing w:line="261" w:lineRule="auto" w:before="105"/>
        <w:ind w:left="4347" w:right="0" w:firstLine="0"/>
        <w:jc w:val="center"/>
        <w:rPr>
          <w:sz w:val="18"/>
        </w:rPr>
      </w:pPr>
      <w:r>
        <w:rPr>
          <w:w w:val="105"/>
          <w:sz w:val="18"/>
        </w:rPr>
        <w:t>HR professional with over nine years of experience managing employee disputes,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investigating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enforcing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policies.</w:t>
      </w: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Heading1"/>
        <w:spacing w:line="264" w:lineRule="auto" w:before="267"/>
      </w:pPr>
      <w:r>
        <w:rPr>
          <w:color w:val="BC936D"/>
          <w:spacing w:val="-2"/>
        </w:rPr>
        <w:t>PERSONAL </w:t>
      </w:r>
      <w:r>
        <w:rPr>
          <w:color w:val="BC936D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BC936D"/>
          <w:sz w:val="26"/>
        </w:rPr>
        <w:t>PROFESSIONAL</w:t>
      </w:r>
      <w:r>
        <w:rPr>
          <w:b/>
          <w:color w:val="BC936D"/>
          <w:spacing w:val="-5"/>
          <w:sz w:val="26"/>
        </w:rPr>
        <w:t> </w:t>
      </w:r>
      <w:r>
        <w:rPr>
          <w:b/>
          <w:color w:val="BC936D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78" w:lineRule="auto" w:before="0"/>
        <w:ind w:left="77" w:right="0" w:firstLine="0"/>
        <w:jc w:val="left"/>
        <w:rPr>
          <w:sz w:val="18"/>
        </w:rPr>
      </w:pPr>
      <w:r>
        <w:rPr>
          <w:sz w:val="18"/>
        </w:rPr>
        <w:t>Employee Relations Specialist | Pinnacle Enterprises | Houston, TX | July 2018 – </w:t>
      </w:r>
      <w:r>
        <w:rPr>
          <w:spacing w:val="-2"/>
          <w:sz w:val="18"/>
        </w:rPr>
        <w:t>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1895" w:space="2029"/>
            <w:col w:w="7005"/>
          </w:cols>
        </w:sectPr>
      </w:pPr>
    </w:p>
    <w:p>
      <w:pPr>
        <w:pStyle w:val="BodyText"/>
        <w:spacing w:before="123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 w:right="45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63"/>
      </w:pPr>
      <w:r>
        <w:rPr>
          <w:color w:val="BC936D"/>
        </w:rPr>
        <w:t>KEY</w:t>
      </w:r>
      <w:r>
        <w:rPr>
          <w:color w:val="BC936D"/>
          <w:spacing w:val="-5"/>
        </w:rPr>
        <w:t> </w:t>
      </w:r>
      <w:r>
        <w:rPr>
          <w:color w:val="BC936D"/>
          <w:spacing w:val="-2"/>
        </w:rPr>
        <w:t>SKILLS</w:t>
      </w:r>
    </w:p>
    <w:p>
      <w:pPr>
        <w:pStyle w:val="BodyText"/>
        <w:spacing w:line="391" w:lineRule="auto" w:before="290"/>
        <w:ind w:left="653" w:right="454"/>
      </w:pPr>
      <w:r>
        <w:rPr>
          <w:w w:val="105"/>
        </w:rPr>
        <w:t>Conﬂict resolution </w:t>
      </w:r>
      <w:r>
        <w:rPr>
          <w:spacing w:val="-2"/>
          <w:w w:val="105"/>
        </w:rPr>
        <w:t>Workplace investigations </w:t>
      </w:r>
      <w:r>
        <w:rPr>
          <w:w w:val="105"/>
        </w:rPr>
        <w:t>Labor law compliance</w:t>
      </w:r>
    </w:p>
    <w:p>
      <w:pPr>
        <w:pStyle w:val="BodyText"/>
        <w:spacing w:line="391" w:lineRule="auto"/>
        <w:ind w:left="653" w:right="-5"/>
      </w:pPr>
      <w:r>
        <w:rPr>
          <w:w w:val="105"/>
        </w:rPr>
        <w:t>Employee</w:t>
      </w:r>
      <w:r>
        <w:rPr>
          <w:spacing w:val="-12"/>
          <w:w w:val="105"/>
        </w:rPr>
        <w:t> </w:t>
      </w:r>
      <w:r>
        <w:rPr>
          <w:w w:val="105"/>
        </w:rPr>
        <w:t>engagement</w:t>
      </w:r>
      <w:r>
        <w:rPr>
          <w:spacing w:val="-12"/>
          <w:w w:val="105"/>
        </w:rPr>
        <w:t> </w:t>
      </w:r>
      <w:r>
        <w:rPr>
          <w:w w:val="105"/>
        </w:rPr>
        <w:t>strategies Mediation and arbitration</w:t>
      </w:r>
    </w:p>
    <w:p>
      <w:pPr>
        <w:pStyle w:val="BodyText"/>
        <w:spacing w:before="74"/>
      </w:pPr>
      <w:r>
        <w:rPr/>
        <w:br w:type="column"/>
      </w:r>
      <w:r>
        <w:rPr/>
      </w:r>
    </w:p>
    <w:p>
      <w:pPr>
        <w:pStyle w:val="BodyText"/>
        <w:spacing w:line="391" w:lineRule="auto"/>
        <w:ind w:left="616" w:right="328"/>
      </w:pPr>
      <w:r>
        <w:rPr>
          <w:w w:val="105"/>
        </w:rPr>
        <w:t>Resolved employee disputes 30% faster by implementing mediation programs Conduct workplace investigations, ensuring compliance with labor laws Developed employee feedback mechanisms, increasing engagement by 25%</w:t>
      </w:r>
    </w:p>
    <w:p>
      <w:pPr>
        <w:spacing w:line="278" w:lineRule="auto" w:before="162"/>
        <w:ind w:left="77" w:right="0" w:firstLine="0"/>
        <w:jc w:val="left"/>
        <w:rPr>
          <w:sz w:val="18"/>
        </w:rPr>
      </w:pPr>
      <w:r>
        <w:rPr>
          <w:sz w:val="18"/>
        </w:rPr>
        <w:t>HR Generalist (Employee Relations Focus) | XYZ Corporation | Houston, TX | May 2014 – July 2018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16" w:right="955"/>
      </w:pPr>
      <w:r>
        <w:rPr>
          <w:w w:val="105"/>
        </w:rPr>
        <w:t>Investigated workplace harassment claims, reducing legal risks by 20% Assisted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1"/>
          <w:w w:val="105"/>
        </w:rPr>
        <w:t> </w:t>
      </w:r>
      <w:r>
        <w:rPr>
          <w:w w:val="105"/>
        </w:rPr>
        <w:t>policy</w:t>
      </w:r>
      <w:r>
        <w:rPr>
          <w:spacing w:val="31"/>
          <w:w w:val="105"/>
        </w:rPr>
        <w:t> </w:t>
      </w:r>
      <w:r>
        <w:rPr>
          <w:w w:val="105"/>
        </w:rPr>
        <w:t>updates,</w:t>
      </w:r>
      <w:r>
        <w:rPr>
          <w:spacing w:val="31"/>
          <w:w w:val="105"/>
        </w:rPr>
        <w:t> </w:t>
      </w:r>
      <w:r>
        <w:rPr>
          <w:w w:val="105"/>
        </w:rPr>
        <w:t>ensuring</w:t>
      </w:r>
      <w:r>
        <w:rPr>
          <w:spacing w:val="31"/>
          <w:w w:val="105"/>
        </w:rPr>
        <w:t> </w:t>
      </w:r>
      <w:r>
        <w:rPr>
          <w:w w:val="105"/>
        </w:rPr>
        <w:t>company-wide</w:t>
      </w:r>
      <w:r>
        <w:rPr>
          <w:spacing w:val="31"/>
          <w:w w:val="105"/>
        </w:rPr>
        <w:t> </w:t>
      </w:r>
      <w:r>
        <w:rPr>
          <w:w w:val="105"/>
        </w:rPr>
        <w:t>compliance</w:t>
      </w:r>
      <w:r>
        <w:rPr>
          <w:w w:val="105"/>
        </w:rPr>
        <w:t> Trained managers on best practices for handling employee concerns</w:t>
      </w:r>
    </w:p>
    <w:p>
      <w:pPr>
        <w:pStyle w:val="Heading1"/>
        <w:spacing w:before="177"/>
      </w:pPr>
      <w:r>
        <w:rPr>
          <w:color w:val="BC936D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Human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Resource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22"/>
        <w:ind w:left="77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Texas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2014</w:t>
      </w:r>
      <w:r>
        <w:rPr>
          <w:spacing w:val="5"/>
        </w:rPr>
        <w:t> </w:t>
      </w:r>
      <w:r>
        <w:rPr>
          <w:spacing w:val="-1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566"/>
          <w:cols w:num="2" w:equalWidth="0">
            <w:col w:w="3147" w:space="778"/>
            <w:col w:w="7004"/>
          </w:cols>
        </w:sectPr>
      </w:pPr>
    </w:p>
    <w:p>
      <w:pPr>
        <w:spacing w:before="292"/>
        <w:ind w:left="0" w:right="1142" w:firstLine="0"/>
        <w:jc w:val="center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4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24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19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505199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5504" id="docshapegroup1" coordorigin="0,0" coordsize="11415,16860">
                <v:shape style="position:absolute;left:0;top:0;width:4095;height:16860" id="docshape2" coordorigin="0,0" coordsize="4095,16860" path="m4095,0l0,0,0,10905,0,16860,4095,16860,4095,10905,4095,0xe" filled="true" fillcolor="#bc936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275" id="docshape7" coordorigin="780,7695" coordsize="75,1275" path="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810;width:7320;height:45" id="docshape8" filled="true" fillcolor="#bc936d" stroked="false">
                  <v:fill type="solid"/>
                </v:rect>
                <v:shape style="position:absolute;left:4664;top:5520;width:75;height:2475" id="docshape9" coordorigin="4665,5520" coordsize="75,2475" path="m4740,7952l4739,7947,4735,7938,4733,7934,4726,7927,4722,7925,4713,7921,4708,7920,4697,7920,4692,7921,4683,7925,4679,7927,4672,7934,4670,7938,4666,7947,4665,7952,4665,7958,4665,7963,4666,7968,4670,7977,4672,7981,4679,7988,4683,7990,4692,7994,4697,7995,4708,7995,4713,7994,4722,7990,4726,7988,4733,7981,4735,7977,4739,7968,4740,7963,4740,7952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6152l4739,6147,4735,6138,4733,6134,4726,6127,4722,6125,4713,6121,4708,6120,4697,6120,4692,6121,4683,6125,4679,6127,4672,6134,4670,6138,4666,6147,4665,6152,4665,6158,4665,6163,4666,6168,4670,6177,4672,6181,4679,6188,4683,6190,4692,6194,4697,6195,4708,6195,4713,6194,4722,6190,4726,6188,4733,6181,4735,6177,4739,6168,4740,6163,4740,615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BC936D"/>
          <w:spacing w:val="-2"/>
          <w:sz w:val="26"/>
        </w:rPr>
        <w:t>REFERENCES</w:t>
      </w:r>
    </w:p>
    <w:sectPr>
      <w:type w:val="continuous"/>
      <w:pgSz w:w="11920" w:h="16860"/>
      <w:pgMar w:top="8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47" w:right="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2026-02-28T03:40:21Z</dcterms:created>
  <dcterms:modified xsi:type="dcterms:W3CDTF">2026-02-28T03:40:21Z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