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12" w:right="20" w:firstLine="0"/>
        <w:jc w:val="center"/>
        <w:rPr>
          <w:b/>
          <w:sz w:val="74"/>
        </w:rPr>
      </w:pPr>
      <w:r>
        <w:rPr>
          <w:color w:val="8B3C4A"/>
          <w:spacing w:val="12"/>
          <w:sz w:val="74"/>
        </w:rPr>
        <w:t>Jonathan</w:t>
      </w:r>
      <w:r>
        <w:rPr>
          <w:color w:val="8B3C4A"/>
          <w:spacing w:val="33"/>
          <w:sz w:val="74"/>
        </w:rPr>
        <w:t> </w:t>
      </w:r>
      <w:r>
        <w:rPr>
          <w:b/>
          <w:color w:val="8B3C4A"/>
          <w:spacing w:val="9"/>
          <w:sz w:val="74"/>
        </w:rPr>
        <w:t>Price</w:t>
      </w:r>
    </w:p>
    <w:p>
      <w:pPr>
        <w:spacing w:before="195"/>
        <w:ind w:left="4212" w:right="61" w:firstLine="0"/>
        <w:jc w:val="center"/>
        <w:rPr>
          <w:sz w:val="20"/>
        </w:rPr>
      </w:pPr>
      <w:r>
        <w:rPr>
          <w:color w:val="8B3C4A"/>
          <w:sz w:val="20"/>
        </w:rPr>
        <w:t>S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C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U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R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I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I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S</w:t>
      </w:r>
      <w:r>
        <w:rPr>
          <w:color w:val="8B3C4A"/>
          <w:spacing w:val="79"/>
          <w:w w:val="150"/>
          <w:sz w:val="20"/>
        </w:rPr>
        <w:t> </w:t>
      </w:r>
      <w:r>
        <w:rPr>
          <w:color w:val="8B3C4A"/>
          <w:sz w:val="20"/>
        </w:rPr>
        <w:t>A</w:t>
      </w:r>
      <w:r>
        <w:rPr>
          <w:color w:val="8B3C4A"/>
          <w:spacing w:val="-13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-1"/>
          <w:sz w:val="20"/>
        </w:rPr>
        <w:t> </w:t>
      </w:r>
      <w:r>
        <w:rPr>
          <w:color w:val="8B3C4A"/>
          <w:sz w:val="20"/>
        </w:rPr>
        <w:t>O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R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N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2"/>
          <w:sz w:val="20"/>
        </w:rPr>
        <w:t> </w:t>
      </w:r>
      <w:r>
        <w:rPr>
          <w:color w:val="8B3C4A"/>
          <w:spacing w:val="-10"/>
          <w:sz w:val="20"/>
        </w:rPr>
        <w:t>Y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Experienced securities attorney specializing in SEC compliance and </w:t>
      </w:r>
      <w:r>
        <w:rPr>
          <w:spacing w:val="-2"/>
          <w:w w:val="105"/>
        </w:rPr>
        <w:t>litigation</w:t>
      </w:r>
    </w:p>
    <w:p>
      <w:pPr>
        <w:spacing w:line="266" w:lineRule="auto" w:before="105"/>
        <w:ind w:left="4332" w:right="126" w:hanging="1"/>
        <w:jc w:val="center"/>
        <w:rPr>
          <w:sz w:val="18"/>
        </w:rPr>
      </w:pPr>
      <w:r>
        <w:rPr>
          <w:w w:val="105"/>
          <w:sz w:val="18"/>
        </w:rPr>
        <w:t>Highly skilled securities attorney with eight years of experience in financial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regulations, securities litigation, and compliance advisory services. Adept at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guiding corporations through complex SEC requirements and mitigating regulatory risks.</w:t>
      </w: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7"/>
      </w:pPr>
      <w:r>
        <w:rPr>
          <w:color w:val="8B3C4A"/>
          <w:spacing w:val="-2"/>
        </w:rPr>
        <w:t>PERSONAL </w:t>
      </w:r>
      <w:r>
        <w:rPr>
          <w:color w:val="8B3C4A"/>
          <w:spacing w:val="-4"/>
        </w:rPr>
        <w:t>INFORMATION</w:t>
      </w:r>
    </w:p>
    <w:p>
      <w:pPr>
        <w:pStyle w:val="BodyText"/>
        <w:spacing w:before="13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before="0"/>
        <w:ind w:left="77" w:right="0" w:firstLine="0"/>
        <w:jc w:val="left"/>
        <w:rPr>
          <w:b/>
          <w:sz w:val="26"/>
        </w:rPr>
      </w:pPr>
      <w:r>
        <w:rPr>
          <w:b/>
          <w:color w:val="8B3C4A"/>
          <w:sz w:val="26"/>
        </w:rPr>
        <w:t>PROFESSIONAL</w:t>
      </w:r>
      <w:r>
        <w:rPr>
          <w:b/>
          <w:color w:val="8B3C4A"/>
          <w:spacing w:val="-5"/>
          <w:sz w:val="26"/>
        </w:rPr>
        <w:t> </w:t>
      </w:r>
      <w:r>
        <w:rPr>
          <w:b/>
          <w:color w:val="8B3C4A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29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23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1723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525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1462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00474"/>
                            <a:ext cx="47625" cy="150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04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184" id="docshapegroup1" coordorigin="0,0" coordsize="11415,16860">
                <v:shape style="position:absolute;left:0;top:0;width:4095;height:16860" id="docshape2" coordorigin="0,0" coordsize="4095,16860" path="m4095,0l0,0,0,11295,0,16860,4095,16860,4095,11295,4095,0xe" filled="true" fillcolor="#8b3c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0;top:6321;width:317;height:274" type="#_x0000_t75" id="docshape6" stroked="false">
                  <v:imagedata r:id="rId8" o:title=""/>
                </v:shape>
                <v:shape style="position:absolute;left:781;top:6810;width:315;height:317" type="#_x0000_t75" id="docshape7" stroked="false">
                  <v:imagedata r:id="rId9" o:title=""/>
                </v:shape>
                <v:shape style="position:absolute;left:779;top:8205;width:75;height:1500" id="docshape8" coordorigin="780,8205" coordsize="75,1500" path="m855,9662l854,9657,850,9648,848,9644,841,9637,837,9635,828,9631,823,9630,812,9630,807,9631,798,9635,794,9637,787,9644,785,9648,781,9657,780,9662,780,9668,780,9673,781,9678,785,9687,787,9691,794,9698,798,9700,807,9704,812,9705,823,9705,828,9704,837,9700,841,9698,848,9691,850,9687,854,9678,855,9673,855,966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275;width:7320;height:45" id="docshape9" filled="true" fillcolor="#8b3c4a" stroked="false">
                  <v:fill type="solid"/>
                </v:rect>
                <v:shape style="position:absolute;left:4664;top:5985;width:75;height:2370" id="docshape10" coordorigin="4665,5985" coordsize="75,2370" path="m4740,8312l4739,8307,4735,8298,4733,8294,4726,8287,4722,8285,4713,8281,4708,8280,4697,8280,4692,8281,4683,8285,4679,8287,4672,8294,4670,8298,4666,8307,4665,8312,4665,8318,4665,8323,4666,8328,4670,8337,4672,8341,4679,8348,4683,8350,4692,8354,4697,8355,4708,8355,4713,8354,4722,8350,4726,8348,4733,8341,4735,8337,4739,8328,4740,8323,4740,8312xm4740,7997l4739,7992,4735,7983,4733,7979,4726,7972,4722,7970,4713,7966,4708,7965,4697,7965,4692,7966,4683,7970,4679,7972,4672,7979,4670,7983,4666,7992,4665,7997,4665,8003,4665,8008,4666,8013,4670,8022,4672,8026,4679,8033,4683,8035,4692,8039,4697,8040,4708,8040,4713,8039,4722,8035,4726,8033,4733,8026,4735,8022,4739,8013,4740,8008,4740,7997xm4740,7037l4739,7032,4735,7023,4733,7019,4726,7012,4722,7010,4713,7006,4708,7005,4697,7005,4692,7006,4683,7010,4679,7012,4672,7019,4670,7023,4666,7032,4665,7037,4665,7043,4665,7048,4666,7053,4670,7062,4672,7066,4679,7073,4683,7075,4692,7079,4697,7080,4708,7080,4713,7079,4722,7075,4726,7073,4733,7066,4735,7062,4739,7053,4740,7048,4740,703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 w:right="29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98765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8B3C4A"/>
        </w:rPr>
        <w:t>KEY</w:t>
      </w:r>
      <w:r>
        <w:rPr>
          <w:color w:val="8B3C4A"/>
          <w:spacing w:val="-5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line="400" w:lineRule="auto" w:before="275"/>
        <w:ind w:left="653" w:right="294"/>
      </w:pPr>
      <w:r>
        <w:rPr>
          <w:w w:val="105"/>
        </w:rPr>
        <w:t>SEC compliance and ﬁlings Securities</w:t>
      </w:r>
      <w:r>
        <w:rPr>
          <w:spacing w:val="-12"/>
          <w:w w:val="105"/>
        </w:rPr>
        <w:t> </w:t>
      </w:r>
      <w:r>
        <w:rPr>
          <w:w w:val="105"/>
        </w:rPr>
        <w:t>fraud</w:t>
      </w:r>
      <w:r>
        <w:rPr>
          <w:spacing w:val="-12"/>
          <w:w w:val="105"/>
        </w:rPr>
        <w:t> </w:t>
      </w:r>
      <w:r>
        <w:rPr>
          <w:w w:val="105"/>
        </w:rPr>
        <w:t>investigations Risk management</w:t>
      </w:r>
    </w:p>
    <w:p>
      <w:pPr>
        <w:pStyle w:val="BodyText"/>
        <w:spacing w:line="273" w:lineRule="auto"/>
        <w:ind w:left="653"/>
      </w:pPr>
      <w:r>
        <w:rPr>
          <w:w w:val="105"/>
        </w:rPr>
        <w:t>IPO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mergers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acquisitions (M&amp;A) regulatory review</w:t>
      </w:r>
    </w:p>
    <w:p>
      <w:pPr>
        <w:pStyle w:val="BodyText"/>
        <w:spacing w:before="84"/>
        <w:ind w:left="653"/>
      </w:pPr>
      <w:r>
        <w:rPr>
          <w:spacing w:val="-2"/>
          <w:w w:val="105"/>
        </w:rPr>
        <w:t>Corporate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governance</w:t>
      </w:r>
    </w:p>
    <w:p>
      <w:pPr>
        <w:spacing w:line="278" w:lineRule="auto" w:before="74"/>
        <w:ind w:left="77" w:right="25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Securities</w:t>
      </w:r>
      <w:r>
        <w:rPr>
          <w:spacing w:val="-3"/>
          <w:sz w:val="18"/>
        </w:rPr>
        <w:t> </w:t>
      </w:r>
      <w:r>
        <w:rPr>
          <w:sz w:val="18"/>
        </w:rPr>
        <w:t>Attorney | Global Financial Law Group | New York, NY | April 2017 – </w:t>
      </w:r>
      <w:r>
        <w:rPr>
          <w:spacing w:val="-2"/>
          <w:sz w:val="18"/>
        </w:rPr>
        <w:t>Present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16"/>
      </w:pPr>
      <w:r>
        <w:rPr>
          <w:w w:val="105"/>
        </w:rPr>
        <w:t>Ensured</w:t>
      </w:r>
      <w:r>
        <w:rPr>
          <w:spacing w:val="-1"/>
          <w:w w:val="105"/>
        </w:rPr>
        <w:t> </w:t>
      </w:r>
      <w:r>
        <w:rPr>
          <w:w w:val="105"/>
        </w:rPr>
        <w:t>SEC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corporate</w:t>
      </w:r>
      <w:r>
        <w:rPr>
          <w:spacing w:val="-1"/>
          <w:w w:val="105"/>
        </w:rPr>
        <w:t> </w:t>
      </w:r>
      <w:r>
        <w:rPr>
          <w:w w:val="105"/>
        </w:rPr>
        <w:t>clients,</w:t>
      </w:r>
      <w:r>
        <w:rPr>
          <w:spacing w:val="-1"/>
          <w:w w:val="105"/>
        </w:rPr>
        <w:t> </w:t>
      </w:r>
      <w:r>
        <w:rPr>
          <w:w w:val="105"/>
        </w:rPr>
        <w:t>preventing</w:t>
      </w:r>
      <w:r>
        <w:rPr>
          <w:spacing w:val="-1"/>
          <w:w w:val="105"/>
        </w:rPr>
        <w:t> </w:t>
      </w:r>
      <w:r>
        <w:rPr>
          <w:w w:val="105"/>
        </w:rPr>
        <w:t>$10</w:t>
      </w:r>
      <w:r>
        <w:rPr>
          <w:spacing w:val="-1"/>
          <w:w w:val="105"/>
        </w:rPr>
        <w:t> </w:t>
      </w:r>
      <w:r>
        <w:rPr>
          <w:w w:val="105"/>
        </w:rPr>
        <w:t>million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potential regulatory penalties</w:t>
      </w:r>
    </w:p>
    <w:p>
      <w:pPr>
        <w:pStyle w:val="BodyText"/>
        <w:spacing w:line="273" w:lineRule="auto" w:before="90"/>
        <w:ind w:left="616" w:right="255"/>
      </w:pPr>
      <w:r>
        <w:rPr>
          <w:w w:val="105"/>
        </w:rPr>
        <w:t>Represent ﬁnancial institutions in securities fraud litigation, achieving successful case resolutions</w:t>
      </w:r>
    </w:p>
    <w:p>
      <w:pPr>
        <w:pStyle w:val="BodyText"/>
        <w:spacing w:before="91"/>
        <w:ind w:left="616"/>
      </w:pPr>
      <w:r>
        <w:rPr>
          <w:w w:val="105"/>
        </w:rPr>
        <w:t>Advise</w:t>
      </w:r>
      <w:r>
        <w:rPr>
          <w:spacing w:val="-1"/>
          <w:w w:val="105"/>
        </w:rPr>
        <w:t> </w:t>
      </w:r>
      <w:r>
        <w:rPr>
          <w:w w:val="105"/>
        </w:rPr>
        <w:t>companies on IPO compliance and ﬁnancial reporting </w:t>
      </w:r>
      <w:r>
        <w:rPr>
          <w:spacing w:val="-2"/>
          <w:w w:val="105"/>
        </w:rPr>
        <w:t>obligations</w:t>
      </w:r>
    </w:p>
    <w:p>
      <w:pPr>
        <w:pStyle w:val="BodyText"/>
        <w:spacing w:before="108"/>
      </w:pPr>
    </w:p>
    <w:p>
      <w:pPr>
        <w:spacing w:before="0"/>
        <w:ind w:left="616" w:right="0" w:hanging="540"/>
        <w:jc w:val="left"/>
        <w:rPr>
          <w:sz w:val="18"/>
        </w:rPr>
      </w:pPr>
      <w:r>
        <w:rPr>
          <w:sz w:val="18"/>
        </w:rPr>
        <w:t>Legal</w:t>
      </w:r>
      <w:r>
        <w:rPr>
          <w:spacing w:val="-9"/>
          <w:sz w:val="18"/>
        </w:rPr>
        <w:t> </w:t>
      </w:r>
      <w:r>
        <w:rPr>
          <w:sz w:val="18"/>
        </w:rPr>
        <w:t>Associate</w:t>
      </w:r>
      <w:r>
        <w:rPr>
          <w:spacing w:val="2"/>
          <w:sz w:val="18"/>
        </w:rPr>
        <w:t> </w:t>
      </w:r>
      <w:r>
        <w:rPr>
          <w:sz w:val="18"/>
        </w:rPr>
        <w:t>|</w:t>
      </w:r>
      <w:r>
        <w:rPr>
          <w:spacing w:val="2"/>
          <w:sz w:val="18"/>
        </w:rPr>
        <w:t> </w:t>
      </w:r>
      <w:r>
        <w:rPr>
          <w:sz w:val="18"/>
        </w:rPr>
        <w:t>Wall</w:t>
      </w:r>
      <w:r>
        <w:rPr>
          <w:spacing w:val="2"/>
          <w:sz w:val="18"/>
        </w:rPr>
        <w:t> </w:t>
      </w:r>
      <w:r>
        <w:rPr>
          <w:sz w:val="18"/>
        </w:rPr>
        <w:t>Street</w:t>
      </w:r>
      <w:r>
        <w:rPr>
          <w:spacing w:val="2"/>
          <w:sz w:val="18"/>
        </w:rPr>
        <w:t> </w:t>
      </w:r>
      <w:r>
        <w:rPr>
          <w:sz w:val="18"/>
        </w:rPr>
        <w:t>Law</w:t>
      </w:r>
      <w:r>
        <w:rPr>
          <w:spacing w:val="2"/>
          <w:sz w:val="18"/>
        </w:rPr>
        <w:t> </w:t>
      </w:r>
      <w:r>
        <w:rPr>
          <w:sz w:val="18"/>
        </w:rPr>
        <w:t>Firm</w:t>
      </w:r>
      <w:r>
        <w:rPr>
          <w:spacing w:val="2"/>
          <w:sz w:val="18"/>
        </w:rPr>
        <w:t> </w:t>
      </w:r>
      <w:r>
        <w:rPr>
          <w:sz w:val="18"/>
        </w:rPr>
        <w:t>|</w:t>
      </w:r>
      <w:r>
        <w:rPr>
          <w:spacing w:val="2"/>
          <w:sz w:val="18"/>
        </w:rPr>
        <w:t> </w:t>
      </w:r>
      <w:r>
        <w:rPr>
          <w:sz w:val="18"/>
        </w:rPr>
        <w:t>New</w:t>
      </w:r>
      <w:r>
        <w:rPr>
          <w:spacing w:val="2"/>
          <w:sz w:val="18"/>
        </w:rPr>
        <w:t> </w:t>
      </w:r>
      <w:r>
        <w:rPr>
          <w:sz w:val="18"/>
        </w:rPr>
        <w:t>York,</w:t>
      </w:r>
      <w:r>
        <w:rPr>
          <w:spacing w:val="2"/>
          <w:sz w:val="18"/>
        </w:rPr>
        <w:t> </w:t>
      </w:r>
      <w:r>
        <w:rPr>
          <w:sz w:val="18"/>
        </w:rPr>
        <w:t>NY</w:t>
      </w:r>
      <w:r>
        <w:rPr>
          <w:spacing w:val="2"/>
          <w:sz w:val="18"/>
        </w:rPr>
        <w:t> </w:t>
      </w:r>
      <w:r>
        <w:rPr>
          <w:sz w:val="18"/>
        </w:rPr>
        <w:t>|</w:t>
      </w:r>
      <w:r>
        <w:rPr>
          <w:spacing w:val="2"/>
          <w:sz w:val="18"/>
        </w:rPr>
        <w:t> </w:t>
      </w:r>
      <w:r>
        <w:rPr>
          <w:sz w:val="18"/>
        </w:rPr>
        <w:t>July</w:t>
      </w:r>
      <w:r>
        <w:rPr>
          <w:spacing w:val="2"/>
          <w:sz w:val="18"/>
        </w:rPr>
        <w:t> </w:t>
      </w:r>
      <w:r>
        <w:rPr>
          <w:sz w:val="18"/>
        </w:rPr>
        <w:t>2014</w:t>
      </w:r>
      <w:r>
        <w:rPr>
          <w:spacing w:val="2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z w:val="18"/>
        </w:rPr>
        <w:t>March</w:t>
      </w:r>
      <w:r>
        <w:rPr>
          <w:spacing w:val="2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616"/>
      </w:pPr>
      <w:r>
        <w:rPr>
          <w:w w:val="105"/>
        </w:rPr>
        <w:t>Assisted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regulatory</w:t>
      </w:r>
      <w:r>
        <w:rPr>
          <w:spacing w:val="-6"/>
          <w:w w:val="105"/>
        </w:rPr>
        <w:t> </w:t>
      </w:r>
      <w:r>
        <w:rPr>
          <w:w w:val="105"/>
        </w:rPr>
        <w:t>ﬁlings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SEC</w:t>
      </w:r>
      <w:r>
        <w:rPr>
          <w:spacing w:val="-5"/>
          <w:w w:val="105"/>
        </w:rPr>
        <w:t> </w:t>
      </w:r>
      <w:r>
        <w:rPr>
          <w:w w:val="105"/>
        </w:rPr>
        <w:t>investigations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corporate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273" w:lineRule="auto" w:before="131"/>
        <w:ind w:left="616" w:right="255"/>
      </w:pPr>
      <w:r>
        <w:rPr>
          <w:w w:val="105"/>
        </w:rPr>
        <w:t>Conducted due diligence for mergers and acquisitions, ensuring compliance with securities laws</w:t>
      </w:r>
    </w:p>
    <w:p>
      <w:pPr>
        <w:pStyle w:val="BodyText"/>
        <w:spacing w:before="67"/>
      </w:pPr>
    </w:p>
    <w:p>
      <w:pPr>
        <w:pStyle w:val="Heading1"/>
        <w:spacing w:before="1"/>
      </w:pPr>
      <w:r>
        <w:rPr>
          <w:color w:val="8B3C4A"/>
          <w:spacing w:val="-2"/>
        </w:rPr>
        <w:t>EDUCATION</w:t>
      </w:r>
    </w:p>
    <w:p>
      <w:pPr>
        <w:pStyle w:val="BodyText"/>
        <w:spacing w:before="1"/>
        <w:rPr>
          <w:b/>
          <w:sz w:val="26"/>
        </w:rPr>
      </w:pPr>
    </w:p>
    <w:p>
      <w:pPr>
        <w:pStyle w:val="Heading3"/>
        <w:spacing w:before="1"/>
      </w:pPr>
      <w:r>
        <w:rPr>
          <w:spacing w:val="-2"/>
          <w:w w:val="105"/>
        </w:rPr>
        <w:t>Juris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Doctor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36"/>
        <w:ind w:left="77"/>
      </w:pPr>
      <w:r>
        <w:rPr>
          <w:spacing w:val="-2"/>
          <w:w w:val="105"/>
        </w:rPr>
        <w:t>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5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94"/>
      </w:pPr>
    </w:p>
    <w:p>
      <w:pPr>
        <w:pStyle w:val="Heading3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15"/>
        </w:rPr>
        <w:t> </w:t>
      </w:r>
      <w:r>
        <w:rPr/>
        <w:t>Business</w:t>
      </w:r>
      <w:r>
        <w:rPr>
          <w:spacing w:val="2"/>
        </w:rPr>
        <w:t> </w:t>
      </w:r>
      <w:r>
        <w:rPr/>
        <w:t>Administration</w:t>
      </w:r>
      <w:r>
        <w:rPr>
          <w:spacing w:val="15"/>
        </w:rPr>
        <w:t> </w:t>
      </w:r>
      <w:r>
        <w:rPr>
          <w:spacing w:val="-2"/>
        </w:rPr>
        <w:t>(B.B.A.)</w:t>
      </w:r>
    </w:p>
    <w:p>
      <w:pPr>
        <w:pStyle w:val="BodyText"/>
        <w:spacing w:before="37"/>
        <w:ind w:left="77"/>
      </w:pPr>
      <w:r>
        <w:rPr>
          <w:spacing w:val="-2"/>
          <w:w w:val="105"/>
        </w:rPr>
        <w:t>University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 Pennsylvania | Philadelphia,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 | 2011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3175" w:space="750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12" w:right="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7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2026-02-12T22:30:09Z</dcterms:created>
  <dcterms:modified xsi:type="dcterms:W3CDTF">2026-02-12T22:30:09Z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