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1"/>
        <w:rPr>
          <w:rFonts w:ascii="Times New Roman"/>
          <w:sz w:val="63"/>
        </w:rPr>
      </w:pPr>
    </w:p>
    <w:p>
      <w:pPr>
        <w:pStyle w:val="Heading1"/>
      </w:pPr>
      <w:r>
        <w:rPr>
          <w:color w:val="E360CA"/>
        </w:rPr>
        <w:t>Skyler</w:t>
      </w:r>
      <w:r>
        <w:rPr>
          <w:color w:val="E360CA"/>
          <w:spacing w:val="23"/>
        </w:rPr>
        <w:t> </w:t>
      </w:r>
      <w:r>
        <w:rPr>
          <w:color w:val="E360CA"/>
          <w:spacing w:val="-4"/>
        </w:rPr>
        <w:t>Lewis</w:t>
      </w:r>
    </w:p>
    <w:p>
      <w:pPr>
        <w:pStyle w:val="BodyText"/>
        <w:spacing w:before="10"/>
        <w:rPr>
          <w:b/>
          <w:sz w:val="15"/>
        </w:rPr>
      </w:pPr>
    </w:p>
    <w:p>
      <w:pPr>
        <w:spacing w:before="0"/>
        <w:ind w:left="4085" w:right="120" w:firstLine="0"/>
        <w:jc w:val="center"/>
        <w:rPr>
          <w:sz w:val="15"/>
        </w:rPr>
      </w:pPr>
      <w:r>
        <w:rPr>
          <w:color w:val="E360CA"/>
          <w:sz w:val="15"/>
        </w:rPr>
        <w:t>Assistant</w:t>
      </w:r>
      <w:r>
        <w:rPr>
          <w:color w:val="E360CA"/>
          <w:spacing w:val="-2"/>
          <w:sz w:val="15"/>
        </w:rPr>
        <w:t> </w:t>
      </w:r>
      <w:r>
        <w:rPr>
          <w:color w:val="E360CA"/>
          <w:sz w:val="15"/>
        </w:rPr>
        <w:t>Property</w:t>
      </w:r>
      <w:r>
        <w:rPr>
          <w:color w:val="E360CA"/>
          <w:spacing w:val="-6"/>
          <w:sz w:val="15"/>
        </w:rPr>
        <w:t> </w:t>
      </w:r>
      <w:r>
        <w:rPr>
          <w:color w:val="E360CA"/>
          <w:spacing w:val="-2"/>
          <w:sz w:val="15"/>
        </w:rPr>
        <w:t>Manager</w:t>
      </w:r>
    </w:p>
    <w:p>
      <w:pPr>
        <w:pStyle w:val="BodyText"/>
        <w:spacing w:before="43"/>
        <w:rPr>
          <w:sz w:val="15"/>
        </w:rPr>
      </w:pPr>
    </w:p>
    <w:p>
      <w:pPr>
        <w:pStyle w:val="Heading3"/>
        <w:spacing w:line="259" w:lineRule="auto" w:before="1"/>
        <w:ind w:left="4085" w:right="117"/>
        <w:jc w:val="center"/>
      </w:pPr>
      <w:r>
        <w:rPr>
          <w:color w:val="E360CA"/>
          <w:w w:val="105"/>
        </w:rPr>
        <w:t>Property</w:t>
      </w:r>
      <w:r>
        <w:rPr>
          <w:color w:val="E360CA"/>
          <w:spacing w:val="-4"/>
          <w:w w:val="105"/>
        </w:rPr>
        <w:t> </w:t>
      </w:r>
      <w:r>
        <w:rPr>
          <w:color w:val="E360CA"/>
          <w:w w:val="105"/>
        </w:rPr>
        <w:t>Operations Specialist focused on tenant service and leasing </w:t>
      </w:r>
      <w:r>
        <w:rPr>
          <w:color w:val="E360CA"/>
          <w:spacing w:val="-2"/>
          <w:w w:val="105"/>
        </w:rPr>
        <w:t>performance</w:t>
      </w:r>
    </w:p>
    <w:p>
      <w:pPr>
        <w:pStyle w:val="BodyText"/>
        <w:spacing w:line="268" w:lineRule="auto" w:before="103"/>
        <w:ind w:left="4416" w:right="448"/>
        <w:jc w:val="center"/>
      </w:pPr>
      <w:r>
        <w:rPr>
          <w:color w:val="E360CA"/>
          <w:w w:val="105"/>
        </w:rPr>
        <w:t>Assistant Property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Manager</w:t>
      </w:r>
      <w:r>
        <w:rPr>
          <w:color w:val="E360CA"/>
          <w:spacing w:val="-8"/>
          <w:w w:val="105"/>
        </w:rPr>
        <w:t> </w:t>
      </w:r>
      <w:r>
        <w:rPr>
          <w:color w:val="E360CA"/>
          <w:w w:val="105"/>
        </w:rPr>
        <w:t>with 6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years of experience managing residential buildings and supporting leasing, maintenance coordination, and rent collection.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Skilled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in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tenant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relations,</w:t>
      </w:r>
      <w:r>
        <w:rPr>
          <w:color w:val="E360CA"/>
          <w:spacing w:val="-7"/>
          <w:w w:val="105"/>
        </w:rPr>
        <w:t> </w:t>
      </w:r>
      <w:r>
        <w:rPr>
          <w:color w:val="E360CA"/>
          <w:w w:val="105"/>
        </w:rPr>
        <w:t>vendor</w:t>
      </w:r>
      <w:r>
        <w:rPr>
          <w:color w:val="E360CA"/>
          <w:spacing w:val="-7"/>
          <w:w w:val="105"/>
        </w:rPr>
        <w:t> </w:t>
      </w:r>
      <w:r>
        <w:rPr>
          <w:color w:val="E360CA"/>
          <w:w w:val="105"/>
        </w:rPr>
        <w:t>management,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and</w:t>
      </w:r>
      <w:r>
        <w:rPr>
          <w:color w:val="E360CA"/>
          <w:spacing w:val="-1"/>
          <w:w w:val="105"/>
        </w:rPr>
        <w:t> </w:t>
      </w:r>
      <w:r>
        <w:rPr>
          <w:color w:val="E360CA"/>
          <w:w w:val="105"/>
        </w:rPr>
        <w:t>compliance with local housing regulations.</w:t>
      </w:r>
    </w:p>
    <w:p>
      <w:pPr>
        <w:pStyle w:val="BodyText"/>
        <w:spacing w:before="9"/>
      </w:pPr>
    </w:p>
    <w:p>
      <w:pPr>
        <w:pStyle w:val="BodyText"/>
        <w:spacing w:after="0"/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24799"/>
                            <a:ext cx="2581275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2781300">
                                <a:moveTo>
                                  <a:pt x="0" y="2781299"/>
                                </a:moveTo>
                                <a:lnTo>
                                  <a:pt x="2581274" y="278129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8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792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924800">
                                <a:moveTo>
                                  <a:pt x="2571749" y="7924799"/>
                                </a:moveTo>
                                <a:lnTo>
                                  <a:pt x="0" y="792479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792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0575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1076325" h="3057525">
                                <a:moveTo>
                                  <a:pt x="47625" y="2820822"/>
                                </a:moveTo>
                                <a:lnTo>
                                  <a:pt x="27165" y="2800350"/>
                                </a:lnTo>
                                <a:lnTo>
                                  <a:pt x="20472" y="2800350"/>
                                </a:lnTo>
                                <a:lnTo>
                                  <a:pt x="0" y="2820822"/>
                                </a:lnTo>
                                <a:lnTo>
                                  <a:pt x="0" y="2824391"/>
                                </a:lnTo>
                                <a:lnTo>
                                  <a:pt x="0" y="2827515"/>
                                </a:lnTo>
                                <a:lnTo>
                                  <a:pt x="20472" y="2847975"/>
                                </a:lnTo>
                                <a:lnTo>
                                  <a:pt x="27165" y="2847975"/>
                                </a:lnTo>
                                <a:lnTo>
                                  <a:pt x="47625" y="2827515"/>
                                </a:lnTo>
                                <a:lnTo>
                                  <a:pt x="47625" y="2820822"/>
                                </a:lnTo>
                                <a:close/>
                              </a:path>
                              <a:path w="1076325" h="30575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1076325" h="305752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1076325" h="305752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1076325" h="30575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1076325" h="30575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1076325" h="30575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0575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744" id="docshapegroup1" coordorigin="0,0" coordsize="4065,16860">
                <v:rect style="position:absolute;left:0;top:12480;width:4065;height:4380" id="docshape2" filled="true" fillcolor="#8c7cc2" stroked="false">
                  <v:fill type="solid"/>
                </v:rect>
                <v:rect style="position:absolute;left:0;top:0;width:4050;height:12480" id="docshape3" filled="true" fillcolor="#e360ca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e360ca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4815" id="docshape8" coordorigin="690,4860" coordsize="1695,4815" path="m765,9632l764,9627,760,9618,758,9614,751,9607,747,9605,738,9601,733,9600,722,9600,717,9601,708,9605,704,9607,697,9614,695,9618,691,9627,690,9632,690,9638,690,9643,691,9648,695,9657,697,9661,704,9668,708,9670,717,9674,722,9675,733,9675,738,9674,747,9670,751,9668,758,9661,760,9657,764,9648,765,9643,765,9632xm765,9302l764,9297,760,9288,758,9284,751,9277,747,9275,738,9271,733,9270,722,9270,717,9271,708,9275,704,9277,697,9284,695,9288,691,9297,690,9302,690,9308,690,9313,691,9318,695,9327,697,9331,704,9338,708,9340,717,9344,722,9345,733,9345,738,9344,747,9340,751,9338,758,9331,760,9327,764,9318,765,9313,765,9302xm765,8972l764,8967,760,8958,758,8954,751,8947,747,8945,738,8941,733,8940,722,8940,717,8941,708,8945,704,8947,697,8954,695,8958,691,8967,690,8972,690,8978,690,8983,691,8988,695,8997,697,9001,704,9008,708,9010,717,9014,722,9015,733,9015,738,9014,747,9010,751,9008,758,9001,760,8997,764,8988,765,8983,765,897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27l764,8322,760,8313,758,8309,751,8302,747,8300,738,8296,733,8295,722,8295,717,8296,708,8300,704,8302,697,8309,695,8313,691,8322,690,8327,690,8333,690,8338,691,8343,695,8352,697,8356,704,8363,708,8365,717,8369,722,8370,733,8370,738,8369,747,8365,751,8363,758,8356,760,8352,764,8343,765,8338,765,8327xm765,7997l764,7992,760,7983,758,7979,751,7972,747,7970,738,7966,733,7965,722,7965,717,7966,708,7970,704,7972,697,7979,695,7983,691,7992,690,7997,690,8003,690,8008,691,8013,695,8022,697,8026,704,8033,708,8035,717,8039,722,8040,733,8040,738,8039,747,8035,751,8033,758,8026,760,8022,764,8013,765,8008,765,7997xm765,7667l764,7662,760,7653,758,7649,751,7642,747,7640,738,7636,733,7635,722,7635,717,7636,708,7640,704,7642,697,7649,695,7653,691,7662,690,7667,690,7673,690,7678,691,7683,695,7692,697,7696,704,7703,708,7705,717,7709,722,7710,733,7710,738,7709,747,7705,751,7703,758,7696,760,7692,764,7683,765,7678,765,766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pStyle w:val="BodyText"/>
        <w:ind w:left="404"/>
      </w:pPr>
      <w:r>
        <w:rPr>
          <w:color w:val="FFFFFF"/>
        </w:rPr>
        <w:t>Houston,</w:t>
      </w:r>
      <w:r>
        <w:rPr>
          <w:color w:val="FFFFFF"/>
          <w:spacing w:val="18"/>
        </w:rPr>
        <w:t> </w:t>
      </w:r>
      <w:r>
        <w:rPr>
          <w:color w:val="FFFFFF"/>
        </w:rPr>
        <w:t>TX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77002</w:t>
      </w:r>
    </w:p>
    <w:p>
      <w:pPr>
        <w:pStyle w:val="BodyText"/>
        <w:spacing w:before="137"/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ind w:left="404"/>
      </w:pPr>
      <w:r>
        <w:rPr>
          <w:color w:val="FFFFFF"/>
        </w:rPr>
        <w:t>555-555-</w:t>
      </w:r>
      <w:r>
        <w:rPr>
          <w:color w:val="FFFFFF"/>
          <w:spacing w:val="-4"/>
        </w:rPr>
        <w:t>5555</w:t>
      </w:r>
    </w:p>
    <w:p>
      <w:pPr>
        <w:pStyle w:val="BodyText"/>
        <w:spacing w:before="137"/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pStyle w:val="BodyText"/>
        <w:spacing w:line="259" w:lineRule="auto"/>
        <w:ind w:left="404" w:right="1461"/>
      </w:pPr>
      <w:hyperlink r:id="rId7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40"/>
          <w:w w:val="110"/>
        </w:rPr>
        <w:t> </w:t>
      </w:r>
      <w:r>
        <w:rPr>
          <w:color w:val="FFFFFF"/>
          <w:spacing w:val="-10"/>
          <w:w w:val="110"/>
        </w:rPr>
        <w:t>0</w:t>
      </w:r>
    </w:p>
    <w:p>
      <w:pPr>
        <w:pStyle w:val="BodyText"/>
        <w:spacing w:before="128"/>
      </w:pPr>
    </w:p>
    <w:p>
      <w:pPr>
        <w:pStyle w:val="Heading2"/>
      </w:pPr>
      <w:r>
        <w:rPr>
          <w:color w:val="FFFFFF"/>
          <w:w w:val="130"/>
        </w:rPr>
        <w:t>Key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line="372" w:lineRule="auto" w:before="167"/>
        <w:ind w:left="702" w:right="132"/>
      </w:pPr>
      <w:r>
        <w:rPr>
          <w:color w:val="FFFFFF"/>
          <w:w w:val="105"/>
        </w:rPr>
        <w:t>Budget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administration Eviction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process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coordination Lease renewal tracking Maintenance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requests</w:t>
      </w:r>
    </w:p>
    <w:p>
      <w:pPr>
        <w:pStyle w:val="BodyText"/>
        <w:spacing w:before="9"/>
        <w:ind w:left="702"/>
      </w:pPr>
      <w:r>
        <w:rPr>
          <w:color w:val="FFFFFF"/>
          <w:w w:val="105"/>
        </w:rPr>
        <w:t>Rent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collection</w:t>
      </w:r>
    </w:p>
    <w:p>
      <w:pPr>
        <w:pStyle w:val="BodyText"/>
        <w:spacing w:line="379" w:lineRule="auto" w:before="121"/>
        <w:ind w:left="702" w:right="143"/>
      </w:pPr>
      <w:r>
        <w:rPr>
          <w:color w:val="FFFFFF"/>
          <w:w w:val="105"/>
        </w:rPr>
        <w:t>Tenant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issue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resolution Vendor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contracts</w:t>
      </w:r>
    </w:p>
    <w:p>
      <w:pPr>
        <w:pStyle w:val="Heading2"/>
        <w:spacing w:before="129"/>
      </w:pPr>
      <w:r>
        <w:rPr>
          <w:color w:val="FFFFFF"/>
          <w:spacing w:val="-2"/>
          <w:w w:val="130"/>
        </w:rPr>
        <w:t>Education</w:t>
      </w:r>
    </w:p>
    <w:p>
      <w:pPr>
        <w:pStyle w:val="BodyText"/>
        <w:spacing w:line="276" w:lineRule="auto" w:before="167"/>
        <w:ind w:left="404"/>
      </w:pPr>
      <w:r>
        <w:rPr>
          <w:color w:val="FFFFFF"/>
        </w:rPr>
        <w:t>University of Houston </w:t>
      </w:r>
      <w:r>
        <w:rPr>
          <w:color w:val="FFFFFF"/>
          <w:w w:val="85"/>
        </w:rPr>
        <w:t>| </w:t>
      </w:r>
      <w:r>
        <w:rPr>
          <w:color w:val="FFFFFF"/>
        </w:rPr>
        <w:t>Graduated: May</w:t>
      </w:r>
      <w:r>
        <w:rPr>
          <w:color w:val="FFFFFF"/>
          <w:spacing w:val="-10"/>
        </w:rPr>
        <w:t> </w:t>
      </w:r>
      <w:r>
        <w:rPr>
          <w:color w:val="FFFFFF"/>
        </w:rPr>
        <w:t>2017</w:t>
      </w:r>
    </w:p>
    <w:p>
      <w:pPr>
        <w:pStyle w:val="BodyText"/>
        <w:spacing w:before="15"/>
      </w:pPr>
    </w:p>
    <w:p>
      <w:pPr>
        <w:pStyle w:val="BodyText"/>
        <w:spacing w:line="276" w:lineRule="auto" w:before="0"/>
        <w:ind w:left="404"/>
      </w:pPr>
      <w:r>
        <w:rPr>
          <w:color w:val="FFFFFF"/>
          <w:w w:val="105"/>
        </w:rPr>
        <w:t>Bachelor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Arts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Estate </w:t>
      </w:r>
      <w:r>
        <w:rPr>
          <w:color w:val="FFFFFF"/>
          <w:spacing w:val="-2"/>
          <w:w w:val="105"/>
        </w:rPr>
        <w:t>Studies</w:t>
      </w:r>
    </w:p>
    <w:p>
      <w:pPr>
        <w:pStyle w:val="BodyText"/>
        <w:spacing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"/>
        <w:rPr>
          <w:sz w:val="20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-212283</wp:posOffset>
                </wp:positionV>
                <wp:extent cx="461962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6.715261pt;width:363.749971pt;height:.75pt;mso-position-horizontal-relative:page;mso-position-vertical-relative:paragraph;z-index:15729152" id="docshape9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E360CA"/>
          <w:spacing w:val="-2"/>
          <w:w w:val="130"/>
        </w:rPr>
        <w:t>Professional Experience</w:t>
      </w:r>
    </w:p>
    <w:p>
      <w:pPr>
        <w:spacing w:before="156"/>
        <w:ind w:left="311" w:right="0" w:firstLine="0"/>
        <w:jc w:val="left"/>
        <w:rPr>
          <w:sz w:val="16"/>
        </w:rPr>
      </w:pPr>
      <w:r>
        <w:rPr>
          <w:sz w:val="16"/>
        </w:rPr>
        <w:t>February</w:t>
      </w:r>
      <w:r>
        <w:rPr>
          <w:spacing w:val="9"/>
          <w:sz w:val="16"/>
        </w:rPr>
        <w:t> </w:t>
      </w:r>
      <w:r>
        <w:rPr>
          <w:sz w:val="16"/>
        </w:rPr>
        <w:t>2021</w:t>
      </w:r>
      <w:r>
        <w:rPr>
          <w:spacing w:val="18"/>
          <w:sz w:val="16"/>
        </w:rPr>
        <w:t> </w:t>
      </w:r>
      <w:r>
        <w:rPr>
          <w:sz w:val="16"/>
        </w:rPr>
        <w:t>-</w:t>
      </w:r>
      <w:r>
        <w:rPr>
          <w:spacing w:val="17"/>
          <w:sz w:val="16"/>
        </w:rPr>
        <w:t> </w:t>
      </w:r>
      <w:r>
        <w:rPr>
          <w:spacing w:val="-2"/>
          <w:sz w:val="16"/>
        </w:rPr>
        <w:t>Present</w:t>
      </w:r>
    </w:p>
    <w:p>
      <w:pPr>
        <w:pStyle w:val="BodyText"/>
        <w:spacing w:before="48"/>
        <w:rPr>
          <w:sz w:val="16"/>
        </w:rPr>
      </w:pPr>
    </w:p>
    <w:p>
      <w:pPr>
        <w:tabs>
          <w:tab w:pos="888" w:val="left" w:leader="none"/>
        </w:tabs>
        <w:spacing w:line="271" w:lineRule="auto" w:before="0"/>
        <w:ind w:left="888" w:right="85" w:hanging="291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Manage day-to-day operations of a 140-unit apartment complex, supporting lease renewals, move-ins, and maintenance</w:t>
      </w:r>
    </w:p>
    <w:p>
      <w:pPr>
        <w:tabs>
          <w:tab w:pos="888" w:val="left" w:leader="none"/>
        </w:tabs>
        <w:spacing w:before="91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z w:val="16"/>
        </w:rPr>
        <w:t>Collected</w:t>
      </w:r>
      <w:r>
        <w:rPr>
          <w:spacing w:val="24"/>
          <w:sz w:val="16"/>
        </w:rPr>
        <w:t> </w:t>
      </w:r>
      <w:r>
        <w:rPr>
          <w:sz w:val="16"/>
        </w:rPr>
        <w:t>rent</w:t>
      </w:r>
      <w:r>
        <w:rPr>
          <w:spacing w:val="17"/>
          <w:sz w:val="16"/>
        </w:rPr>
        <w:t> </w:t>
      </w:r>
      <w:r>
        <w:rPr>
          <w:sz w:val="16"/>
        </w:rPr>
        <w:t>with</w:t>
      </w:r>
      <w:r>
        <w:rPr>
          <w:spacing w:val="24"/>
          <w:sz w:val="16"/>
        </w:rPr>
        <w:t> </w:t>
      </w:r>
      <w:r>
        <w:rPr>
          <w:sz w:val="16"/>
        </w:rPr>
        <w:t>a</w:t>
      </w:r>
      <w:r>
        <w:rPr>
          <w:spacing w:val="25"/>
          <w:sz w:val="16"/>
        </w:rPr>
        <w:t> </w:t>
      </w:r>
      <w:r>
        <w:rPr>
          <w:sz w:val="16"/>
        </w:rPr>
        <w:t>97%</w:t>
      </w:r>
      <w:r>
        <w:rPr>
          <w:spacing w:val="25"/>
          <w:sz w:val="16"/>
        </w:rPr>
        <w:t> </w:t>
      </w:r>
      <w:r>
        <w:rPr>
          <w:sz w:val="16"/>
        </w:rPr>
        <w:t>on-time</w:t>
      </w:r>
      <w:r>
        <w:rPr>
          <w:spacing w:val="25"/>
          <w:sz w:val="16"/>
        </w:rPr>
        <w:t> </w:t>
      </w:r>
      <w:r>
        <w:rPr>
          <w:sz w:val="16"/>
        </w:rPr>
        <w:t>payment</w:t>
      </w:r>
      <w:r>
        <w:rPr>
          <w:spacing w:val="25"/>
          <w:sz w:val="16"/>
        </w:rPr>
        <w:t> </w:t>
      </w:r>
      <w:r>
        <w:rPr>
          <w:spacing w:val="-4"/>
          <w:sz w:val="16"/>
        </w:rPr>
        <w:t>rate</w:t>
      </w:r>
    </w:p>
    <w:p>
      <w:pPr>
        <w:tabs>
          <w:tab w:pos="888" w:val="left" w:leader="none"/>
        </w:tabs>
        <w:spacing w:before="114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Responded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tenant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inquiries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complaint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resolution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3"/>
          <w:w w:val="105"/>
          <w:sz w:val="16"/>
        </w:rPr>
        <w:t> </w:t>
      </w:r>
      <w:r>
        <w:rPr>
          <w:spacing w:val="-5"/>
          <w:w w:val="105"/>
          <w:sz w:val="16"/>
        </w:rPr>
        <w:t>35%</w:t>
      </w:r>
    </w:p>
    <w:p>
      <w:pPr>
        <w:pStyle w:val="BodyText"/>
        <w:spacing w:before="123"/>
        <w:rPr>
          <w:sz w:val="16"/>
        </w:rPr>
      </w:pPr>
    </w:p>
    <w:p>
      <w:pPr>
        <w:spacing w:before="0"/>
        <w:ind w:left="311" w:right="0" w:firstLine="0"/>
        <w:jc w:val="left"/>
        <w:rPr>
          <w:sz w:val="16"/>
        </w:rPr>
      </w:pPr>
      <w:r>
        <w:rPr>
          <w:sz w:val="16"/>
        </w:rPr>
        <w:t>July</w:t>
      </w:r>
      <w:r>
        <w:rPr>
          <w:spacing w:val="8"/>
          <w:sz w:val="16"/>
        </w:rPr>
        <w:t> </w:t>
      </w:r>
      <w:r>
        <w:rPr>
          <w:sz w:val="16"/>
        </w:rPr>
        <w:t>2017</w:t>
      </w:r>
      <w:r>
        <w:rPr>
          <w:spacing w:val="16"/>
          <w:sz w:val="16"/>
        </w:rPr>
        <w:t> </w:t>
      </w:r>
      <w:r>
        <w:rPr>
          <w:sz w:val="16"/>
        </w:rPr>
        <w:t>-</w:t>
      </w:r>
      <w:r>
        <w:rPr>
          <w:spacing w:val="8"/>
          <w:sz w:val="16"/>
        </w:rPr>
        <w:t> </w:t>
      </w:r>
      <w:r>
        <w:rPr>
          <w:sz w:val="16"/>
        </w:rPr>
        <w:t>January</w:t>
      </w:r>
      <w:r>
        <w:rPr>
          <w:spacing w:val="9"/>
          <w:sz w:val="16"/>
        </w:rPr>
        <w:t> </w:t>
      </w:r>
      <w:r>
        <w:rPr>
          <w:spacing w:val="-4"/>
          <w:sz w:val="16"/>
        </w:rPr>
        <w:t>2021</w:t>
      </w:r>
    </w:p>
    <w:p>
      <w:pPr>
        <w:pStyle w:val="BodyText"/>
        <w:spacing w:before="48"/>
        <w:rPr>
          <w:sz w:val="16"/>
        </w:rPr>
      </w:pPr>
    </w:p>
    <w:p>
      <w:pPr>
        <w:tabs>
          <w:tab w:pos="888" w:val="left" w:leader="none"/>
        </w:tabs>
        <w:spacing w:line="271" w:lineRule="auto" w:before="1"/>
        <w:ind w:left="888" w:right="357" w:hanging="291"/>
        <w:jc w:val="left"/>
        <w:rPr>
          <w:sz w:val="16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  <w:sz w:val="16"/>
        </w:rPr>
        <w:t>Processed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lease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applications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maintained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96%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occupancy</w:t>
      </w:r>
      <w:r>
        <w:rPr>
          <w:spacing w:val="-15"/>
          <w:w w:val="110"/>
          <w:sz w:val="16"/>
        </w:rPr>
        <w:t> </w:t>
      </w:r>
      <w:r>
        <w:rPr>
          <w:w w:val="110"/>
          <w:sz w:val="16"/>
        </w:rPr>
        <w:t>rate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during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peak </w:t>
      </w:r>
      <w:r>
        <w:rPr>
          <w:spacing w:val="-2"/>
          <w:w w:val="110"/>
          <w:sz w:val="16"/>
        </w:rPr>
        <w:t>season</w:t>
      </w:r>
    </w:p>
    <w:p>
      <w:pPr>
        <w:tabs>
          <w:tab w:pos="888" w:val="left" w:leader="none"/>
        </w:tabs>
        <w:spacing w:before="90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10"/>
          <w:sz w:val="16"/>
        </w:rPr>
        <w:t>Conducted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unit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tours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guided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new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residents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through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onboarding</w:t>
      </w:r>
    </w:p>
    <w:p>
      <w:pPr>
        <w:tabs>
          <w:tab w:pos="888" w:val="left" w:leader="none"/>
        </w:tabs>
        <w:spacing w:before="114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10"/>
          <w:sz w:val="16"/>
        </w:rPr>
        <w:t>Monitored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followed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up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on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maintenance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tickets</w:t>
      </w:r>
    </w:p>
    <w:sectPr>
      <w:type w:val="continuous"/>
      <w:pgSz w:w="11920" w:h="16860"/>
      <w:pgMar w:top="0" w:bottom="0" w:left="283" w:right="283"/>
      <w:cols w:num="2" w:equalWidth="0">
        <w:col w:w="3362" w:space="692"/>
        <w:col w:w="73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6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64"/>
      <w:outlineLvl w:val="1"/>
    </w:pPr>
    <w:rPr>
      <w:rFonts w:ascii="Trebuchet MS" w:hAnsi="Trebuchet MS" w:eastAsia="Trebuchet MS" w:cs="Trebuchet MS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2026-02-15T11:49:33Z</dcterms:created>
  <dcterms:modified xsi:type="dcterms:W3CDTF">2026-02-15T11:49:33Z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