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06A5C"/>
          <w:spacing w:val="29"/>
          <w:w w:val="130"/>
          <w:sz w:val="70"/>
        </w:rPr>
        <w:t>Chris</w:t>
      </w:r>
      <w:r>
        <w:rPr>
          <w:rFonts w:ascii="Calibri"/>
          <w:b/>
          <w:color w:val="006A5C"/>
          <w:spacing w:val="48"/>
          <w:w w:val="150"/>
          <w:sz w:val="70"/>
        </w:rPr>
        <w:t> </w:t>
      </w:r>
      <w:r>
        <w:rPr>
          <w:rFonts w:ascii="Calibri"/>
          <w:color w:val="006A5C"/>
          <w:spacing w:val="27"/>
          <w:w w:val="130"/>
          <w:sz w:val="70"/>
        </w:rPr>
        <w:t>Jackson</w:t>
      </w:r>
    </w:p>
    <w:p>
      <w:pPr>
        <w:pStyle w:val="Heading1"/>
        <w:spacing w:before="105"/>
        <w:ind w:left="4235"/>
        <w:jc w:val="center"/>
        <w:rPr>
          <w:rFonts w:ascii="Calibri"/>
        </w:rPr>
      </w:pPr>
      <w:r>
        <w:rPr>
          <w:rFonts w:ascii="Calibri"/>
          <w:color w:val="006A5C"/>
          <w:w w:val="130"/>
        </w:rPr>
        <w:t>Senior</w:t>
      </w:r>
      <w:r>
        <w:rPr>
          <w:rFonts w:ascii="Calibri"/>
          <w:color w:val="006A5C"/>
          <w:spacing w:val="31"/>
          <w:w w:val="130"/>
        </w:rPr>
        <w:t> </w:t>
      </w:r>
      <w:r>
        <w:rPr>
          <w:rFonts w:ascii="Calibri"/>
          <w:color w:val="006A5C"/>
          <w:w w:val="130"/>
        </w:rPr>
        <w:t>HR</w:t>
      </w:r>
      <w:r>
        <w:rPr>
          <w:rFonts w:ascii="Calibri"/>
          <w:color w:val="006A5C"/>
          <w:spacing w:val="32"/>
          <w:w w:val="130"/>
        </w:rPr>
        <w:t> </w:t>
      </w:r>
      <w:r>
        <w:rPr>
          <w:rFonts w:ascii="Calibri"/>
          <w:color w:val="006A5C"/>
          <w:w w:val="130"/>
        </w:rPr>
        <w:t>Business</w:t>
      </w:r>
      <w:r>
        <w:rPr>
          <w:rFonts w:ascii="Calibri"/>
          <w:color w:val="006A5C"/>
          <w:spacing w:val="31"/>
          <w:w w:val="130"/>
        </w:rPr>
        <w:t> </w:t>
      </w:r>
      <w:r>
        <w:rPr>
          <w:rFonts w:ascii="Calibri"/>
          <w:color w:val="006A5C"/>
          <w:spacing w:val="-2"/>
          <w:w w:val="130"/>
        </w:rPr>
        <w:t>Partner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1155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4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400" w:lineRule="auto"/>
        <w:ind w:left="579" w:right="104"/>
      </w:pPr>
      <w:r>
        <w:rPr>
          <w:color w:val="FFFFFF"/>
          <w:w w:val="105"/>
        </w:rPr>
        <w:t>Benefits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administration Conflict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resolution Employee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engagement </w:t>
      </w:r>
      <w:r>
        <w:rPr>
          <w:color w:val="FFFFFF"/>
          <w:spacing w:val="-4"/>
          <w:w w:val="105"/>
        </w:rPr>
        <w:t>HRIS</w:t>
      </w:r>
    </w:p>
    <w:p>
      <w:pPr>
        <w:pStyle w:val="BodyText"/>
        <w:spacing w:line="396" w:lineRule="auto"/>
        <w:ind w:left="579"/>
      </w:pPr>
      <w:r>
        <w:rPr>
          <w:color w:val="FFFFFF"/>
          <w:w w:val="105"/>
        </w:rPr>
        <w:t>Performance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Strategic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planning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006A5C"/>
          <w:w w:val="125"/>
          <w:sz w:val="15"/>
        </w:rPr>
        <w:t>A</w:t>
      </w:r>
      <w:r>
        <w:rPr>
          <w:rFonts w:ascii="Calibri"/>
          <w:b/>
          <w:color w:val="006A5C"/>
          <w:spacing w:val="-9"/>
          <w:w w:val="125"/>
          <w:sz w:val="15"/>
        </w:rPr>
        <w:t> </w:t>
      </w:r>
      <w:r>
        <w:rPr>
          <w:rFonts w:ascii="Calibri"/>
          <w:b/>
          <w:color w:val="006A5C"/>
          <w:w w:val="125"/>
          <w:sz w:val="15"/>
        </w:rPr>
        <w:t>B</w:t>
      </w:r>
      <w:r>
        <w:rPr>
          <w:rFonts w:ascii="Calibri"/>
          <w:b/>
          <w:color w:val="006A5C"/>
          <w:spacing w:val="-8"/>
          <w:w w:val="125"/>
          <w:sz w:val="15"/>
        </w:rPr>
        <w:t> </w:t>
      </w:r>
      <w:r>
        <w:rPr>
          <w:rFonts w:ascii="Calibri"/>
          <w:b/>
          <w:color w:val="006A5C"/>
          <w:w w:val="125"/>
          <w:sz w:val="15"/>
        </w:rPr>
        <w:t>O</w:t>
      </w:r>
      <w:r>
        <w:rPr>
          <w:rFonts w:ascii="Calibri"/>
          <w:b/>
          <w:color w:val="006A5C"/>
          <w:spacing w:val="-9"/>
          <w:w w:val="125"/>
          <w:sz w:val="15"/>
        </w:rPr>
        <w:t> </w:t>
      </w:r>
      <w:r>
        <w:rPr>
          <w:rFonts w:ascii="Calibri"/>
          <w:b/>
          <w:color w:val="006A5C"/>
          <w:w w:val="125"/>
          <w:sz w:val="15"/>
        </w:rPr>
        <w:t>U</w:t>
      </w:r>
      <w:r>
        <w:rPr>
          <w:rFonts w:ascii="Calibri"/>
          <w:b/>
          <w:color w:val="006A5C"/>
          <w:spacing w:val="-10"/>
          <w:w w:val="125"/>
          <w:sz w:val="15"/>
        </w:rPr>
        <w:t> </w:t>
      </w:r>
      <w:r>
        <w:rPr>
          <w:rFonts w:ascii="Calibri"/>
          <w:b/>
          <w:color w:val="006A5C"/>
          <w:w w:val="125"/>
          <w:sz w:val="15"/>
        </w:rPr>
        <w:t>T</w:t>
      </w:r>
      <w:r>
        <w:rPr>
          <w:rFonts w:ascii="Calibri"/>
          <w:b/>
          <w:color w:val="006A5C"/>
          <w:spacing w:val="64"/>
          <w:w w:val="125"/>
          <w:sz w:val="15"/>
        </w:rPr>
        <w:t> </w:t>
      </w:r>
      <w:r>
        <w:rPr>
          <w:rFonts w:ascii="Calibri"/>
          <w:b/>
          <w:color w:val="006A5C"/>
          <w:w w:val="125"/>
          <w:sz w:val="15"/>
        </w:rPr>
        <w:t>M</w:t>
      </w:r>
      <w:r>
        <w:rPr>
          <w:rFonts w:ascii="Calibri"/>
          <w:b/>
          <w:color w:val="006A5C"/>
          <w:spacing w:val="-9"/>
          <w:w w:val="125"/>
          <w:sz w:val="15"/>
        </w:rPr>
        <w:t> </w:t>
      </w:r>
      <w:r>
        <w:rPr>
          <w:rFonts w:ascii="Calibri"/>
          <w:b/>
          <w:color w:val="006A5C"/>
          <w:spacing w:val="-10"/>
          <w:w w:val="125"/>
          <w:sz w:val="15"/>
        </w:rPr>
        <w:t>E</w:t>
      </w:r>
    </w:p>
    <w:p>
      <w:pPr>
        <w:pStyle w:val="BodyText"/>
        <w:spacing w:line="292" w:lineRule="auto" w:before="105"/>
        <w:ind w:left="95" w:right="139"/>
      </w:pPr>
      <w:r>
        <w:rPr>
          <w:w w:val="105"/>
        </w:rPr>
        <w:t>HR Business Partner with 11 years of experience aligning human capital</w:t>
      </w:r>
      <w:r>
        <w:rPr>
          <w:spacing w:val="40"/>
          <w:w w:val="105"/>
        </w:rPr>
        <w:t> </w:t>
      </w:r>
      <w:r>
        <w:rPr>
          <w:w w:val="105"/>
        </w:rPr>
        <w:t>strategies with organizational goals. Skilled in employee engagement, talent</w:t>
      </w:r>
      <w:r>
        <w:rPr>
          <w:spacing w:val="40"/>
          <w:w w:val="105"/>
        </w:rPr>
        <w:t> </w:t>
      </w:r>
      <w:r>
        <w:rPr>
          <w:w w:val="105"/>
        </w:rPr>
        <w:t>development,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large-scale</w:t>
      </w:r>
      <w:r>
        <w:rPr>
          <w:spacing w:val="31"/>
          <w:w w:val="105"/>
        </w:rPr>
        <w:t> </w:t>
      </w:r>
      <w:r>
        <w:rPr>
          <w:w w:val="105"/>
        </w:rPr>
        <w:t>policy implementation.</w:t>
      </w:r>
      <w:r>
        <w:rPr>
          <w:spacing w:val="31"/>
          <w:w w:val="105"/>
        </w:rPr>
        <w:t> </w:t>
      </w:r>
      <w:r>
        <w:rPr>
          <w:w w:val="105"/>
        </w:rPr>
        <w:t>Known</w:t>
      </w:r>
      <w:r>
        <w:rPr>
          <w:spacing w:val="31"/>
          <w:w w:val="105"/>
        </w:rPr>
        <w:t> </w:t>
      </w:r>
      <w:r>
        <w:rPr>
          <w:w w:val="105"/>
        </w:rPr>
        <w:t>for building</w:t>
      </w:r>
      <w:r>
        <w:rPr>
          <w:spacing w:val="31"/>
          <w:w w:val="105"/>
        </w:rPr>
        <w:t> </w:t>
      </w:r>
      <w:r>
        <w:rPr>
          <w:w w:val="105"/>
        </w:rPr>
        <w:t>trust at all levels and fostering an inclusive workplace culture.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06A5C"/>
          <w:w w:val="130"/>
          <w:sz w:val="15"/>
        </w:rPr>
        <w:t>P</w:t>
      </w:r>
      <w:r>
        <w:rPr>
          <w:rFonts w:ascii="Calibri"/>
          <w:b/>
          <w:color w:val="006A5C"/>
          <w:spacing w:val="-10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R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O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F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E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S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S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I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O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N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A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L</w:t>
      </w:r>
      <w:r>
        <w:rPr>
          <w:rFonts w:ascii="Calibri"/>
          <w:b/>
          <w:color w:val="006A5C"/>
          <w:spacing w:val="71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E</w:t>
      </w:r>
      <w:r>
        <w:rPr>
          <w:rFonts w:ascii="Calibri"/>
          <w:b/>
          <w:color w:val="006A5C"/>
          <w:spacing w:val="-8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X</w:t>
      </w:r>
      <w:r>
        <w:rPr>
          <w:rFonts w:ascii="Calibri"/>
          <w:b/>
          <w:color w:val="006A5C"/>
          <w:spacing w:val="-11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P</w:t>
      </w:r>
      <w:r>
        <w:rPr>
          <w:rFonts w:ascii="Calibri"/>
          <w:b/>
          <w:color w:val="006A5C"/>
          <w:spacing w:val="-9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E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R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I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E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N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w w:val="130"/>
          <w:sz w:val="15"/>
        </w:rPr>
        <w:t>C</w:t>
      </w:r>
      <w:r>
        <w:rPr>
          <w:rFonts w:ascii="Calibri"/>
          <w:b/>
          <w:color w:val="006A5C"/>
          <w:spacing w:val="-7"/>
          <w:w w:val="130"/>
          <w:sz w:val="15"/>
        </w:rPr>
        <w:t> </w:t>
      </w:r>
      <w:r>
        <w:rPr>
          <w:rFonts w:ascii="Calibri"/>
          <w:b/>
          <w:color w:val="006A5C"/>
          <w:spacing w:val="-10"/>
          <w:w w:val="130"/>
          <w:sz w:val="15"/>
        </w:rPr>
        <w:t>E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Senior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HR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Business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w w:val="115"/>
          <w:sz w:val="15"/>
        </w:rPr>
        <w:t>Partner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w w:val="115"/>
          <w:sz w:val="15"/>
        </w:rPr>
        <w:t>February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2019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0"/>
        <w:ind w:left="95"/>
      </w:pPr>
      <w:r>
        <w:rPr>
          <w:w w:val="105"/>
        </w:rPr>
        <w:t>Nortech</w:t>
      </w:r>
      <w:r>
        <w:rPr>
          <w:spacing w:val="16"/>
          <w:w w:val="105"/>
        </w:rPr>
        <w:t> </w:t>
      </w:r>
      <w:r>
        <w:rPr>
          <w:w w:val="105"/>
        </w:rPr>
        <w:t>Solutions,</w:t>
      </w:r>
      <w:r>
        <w:rPr>
          <w:spacing w:val="9"/>
          <w:w w:val="105"/>
        </w:rPr>
        <w:t> </w:t>
      </w:r>
      <w:r>
        <w:rPr>
          <w:w w:val="105"/>
        </w:rPr>
        <w:t>Atlanta,</w:t>
      </w:r>
      <w:r>
        <w:rPr>
          <w:spacing w:val="17"/>
          <w:w w:val="105"/>
        </w:rPr>
        <w:t> </w:t>
      </w:r>
      <w:r>
        <w:rPr>
          <w:spacing w:val="-7"/>
          <w:w w:val="105"/>
        </w:rPr>
        <w:t>GA</w:t>
      </w:r>
    </w:p>
    <w:p>
      <w:pPr>
        <w:pStyle w:val="BodyText"/>
        <w:spacing w:line="292" w:lineRule="auto" w:before="151"/>
        <w:ind w:left="653" w:right="139"/>
      </w:pPr>
      <w:r>
        <w:rPr>
          <w:w w:val="110"/>
        </w:rPr>
        <w:t>Launched a performance-based promotion system that increased internal advancement by 22%</w:t>
      </w:r>
    </w:p>
    <w:p>
      <w:pPr>
        <w:pStyle w:val="BodyText"/>
        <w:spacing w:line="292" w:lineRule="auto" w:before="90"/>
        <w:ind w:left="653"/>
      </w:pPr>
      <w:r>
        <w:rPr>
          <w:w w:val="110"/>
        </w:rPr>
        <w:t>Led</w:t>
      </w:r>
      <w:r>
        <w:rPr>
          <w:spacing w:val="-6"/>
          <w:w w:val="110"/>
        </w:rPr>
        <w:t> </w:t>
      </w:r>
      <w:r>
        <w:rPr>
          <w:w w:val="110"/>
        </w:rPr>
        <w:t>workforce planning strategy</w:t>
      </w:r>
      <w:r>
        <w:rPr>
          <w:spacing w:val="-6"/>
          <w:w w:val="110"/>
        </w:rPr>
        <w:t> </w:t>
      </w:r>
      <w:r>
        <w:rPr>
          <w:w w:val="110"/>
        </w:rPr>
        <w:t>across five departments, reducing staffing gaps by 35%</w:t>
      </w:r>
    </w:p>
    <w:p>
      <w:pPr>
        <w:pStyle w:val="BodyText"/>
        <w:spacing w:line="292" w:lineRule="auto" w:before="90"/>
        <w:ind w:left="653" w:right="139"/>
      </w:pPr>
      <w:r>
        <w:rPr>
          <w:w w:val="105"/>
        </w:rPr>
        <w:t>Introduced a quarterly engagement program that improved overall</w:t>
      </w:r>
      <w:r>
        <w:rPr>
          <w:spacing w:val="40"/>
          <w:w w:val="105"/>
        </w:rPr>
        <w:t> </w:t>
      </w:r>
      <w:r>
        <w:rPr>
          <w:w w:val="105"/>
        </w:rPr>
        <w:t>employee satisfaction scores by 17%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HR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Generalist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1"/>
          <w:w w:val="115"/>
          <w:sz w:val="15"/>
        </w:rPr>
        <w:t> </w:t>
      </w:r>
      <w:r>
        <w:rPr>
          <w:rFonts w:ascii="Calibri"/>
          <w:w w:val="115"/>
          <w:sz w:val="15"/>
        </w:rPr>
        <w:t>July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2014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1"/>
          <w:w w:val="115"/>
          <w:sz w:val="15"/>
        </w:rPr>
        <w:t> </w:t>
      </w:r>
      <w:r>
        <w:rPr>
          <w:rFonts w:ascii="Calibri"/>
          <w:w w:val="115"/>
          <w:sz w:val="15"/>
        </w:rPr>
        <w:t>January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2019</w:t>
      </w:r>
    </w:p>
    <w:p>
      <w:pPr>
        <w:pStyle w:val="BodyText"/>
        <w:spacing w:before="30"/>
        <w:ind w:left="95"/>
      </w:pPr>
      <w:r>
        <w:rPr>
          <w:w w:val="105"/>
        </w:rPr>
        <w:t>Omnia</w:t>
      </w:r>
      <w:r>
        <w:rPr>
          <w:spacing w:val="18"/>
          <w:w w:val="105"/>
        </w:rPr>
        <w:t> </w:t>
      </w:r>
      <w:r>
        <w:rPr>
          <w:w w:val="105"/>
        </w:rPr>
        <w:t>Financial,</w:t>
      </w:r>
      <w:r>
        <w:rPr>
          <w:spacing w:val="19"/>
          <w:w w:val="105"/>
        </w:rPr>
        <w:t> </w:t>
      </w:r>
      <w:r>
        <w:rPr>
          <w:w w:val="105"/>
        </w:rPr>
        <w:t>Macon,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151"/>
        <w:ind w:left="653"/>
      </w:pPr>
      <w:r>
        <w:rPr>
          <w:w w:val="105"/>
        </w:rPr>
        <w:t>Managed</w:t>
      </w:r>
      <w:r>
        <w:rPr>
          <w:spacing w:val="25"/>
          <w:w w:val="105"/>
        </w:rPr>
        <w:t> </w:t>
      </w:r>
      <w:r>
        <w:rPr>
          <w:w w:val="105"/>
        </w:rPr>
        <w:t>onboarding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exit</w:t>
      </w:r>
      <w:r>
        <w:rPr>
          <w:spacing w:val="26"/>
          <w:w w:val="105"/>
        </w:rPr>
        <w:t> </w:t>
      </w:r>
      <w:r>
        <w:rPr>
          <w:w w:val="105"/>
        </w:rPr>
        <w:t>interviews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over</w:t>
      </w:r>
      <w:r>
        <w:rPr>
          <w:spacing w:val="19"/>
          <w:w w:val="105"/>
        </w:rPr>
        <w:t> </w:t>
      </w:r>
      <w:r>
        <w:rPr>
          <w:w w:val="105"/>
        </w:rPr>
        <w:t>200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employees</w:t>
      </w:r>
    </w:p>
    <w:p>
      <w:pPr>
        <w:pStyle w:val="BodyText"/>
        <w:spacing w:line="292" w:lineRule="auto" w:before="136"/>
        <w:ind w:left="653"/>
      </w:pPr>
      <w:r>
        <w:rPr>
          <w:w w:val="105"/>
        </w:rPr>
        <w:t>Updated policies to comply with new state regulations and improved</w:t>
      </w:r>
      <w:r>
        <w:rPr>
          <w:spacing w:val="80"/>
          <w:w w:val="105"/>
        </w:rPr>
        <w:t> </w:t>
      </w:r>
      <w:r>
        <w:rPr>
          <w:w w:val="105"/>
        </w:rPr>
        <w:t>compliance audit scores by 100%</w:t>
      </w:r>
    </w:p>
    <w:p>
      <w:pPr>
        <w:pStyle w:val="BodyText"/>
        <w:spacing w:line="292" w:lineRule="auto" w:before="90"/>
        <w:ind w:left="653" w:right="232"/>
      </w:pPr>
      <w:r>
        <w:rPr/>
        <w:t>Served</w:t>
      </w:r>
      <w:r>
        <w:rPr>
          <w:spacing w:val="40"/>
        </w:rPr>
        <w:t> </w:t>
      </w:r>
      <w:r>
        <w:rPr/>
        <w:t>as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point</w:t>
      </w:r>
      <w:r>
        <w:rPr>
          <w:spacing w:val="40"/>
        </w:rPr>
        <w:t> </w:t>
      </w:r>
      <w:r>
        <w:rPr/>
        <w:t>of</w:t>
      </w:r>
      <w:r>
        <w:rPr>
          <w:spacing w:val="33"/>
        </w:rPr>
        <w:t> </w:t>
      </w:r>
      <w:r>
        <w:rPr/>
        <w:t>contact</w:t>
      </w:r>
      <w:r>
        <w:rPr>
          <w:spacing w:val="40"/>
        </w:rPr>
        <w:t> </w:t>
      </w:r>
      <w:r>
        <w:rPr/>
        <w:t>for</w:t>
      </w:r>
      <w:r>
        <w:rPr>
          <w:spacing w:val="33"/>
        </w:rPr>
        <w:t> </w:t>
      </w:r>
      <w:r>
        <w:rPr/>
        <w:t>benefits,</w:t>
      </w:r>
      <w:r>
        <w:rPr>
          <w:spacing w:val="40"/>
        </w:rPr>
        <w:t> </w:t>
      </w:r>
      <w:r>
        <w:rPr/>
        <w:t>conflict</w:t>
      </w:r>
      <w:r>
        <w:rPr>
          <w:spacing w:val="40"/>
        </w:rPr>
        <w:t> </w:t>
      </w:r>
      <w:r>
        <w:rPr/>
        <w:t>resolution,</w:t>
      </w:r>
      <w:r>
        <w:rPr>
          <w:spacing w:val="40"/>
        </w:rPr>
        <w:t> </w:t>
      </w:r>
      <w:r>
        <w:rPr/>
        <w:t>and leave administration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1200" w:bottom="280" w:left="425" w:right="141"/>
          <w:cols w:num="2" w:equalWidth="0">
            <w:col w:w="2935" w:space="1287"/>
            <w:col w:w="7132"/>
          </w:cols>
        </w:sectPr>
      </w:pPr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9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19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19499"/>
                            <a:ext cx="1905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43125">
                                <a:moveTo>
                                  <a:pt x="19050" y="2121446"/>
                                </a:moveTo>
                                <a:lnTo>
                                  <a:pt x="18122" y="2119211"/>
                                </a:lnTo>
                                <a:lnTo>
                                  <a:pt x="14401" y="2115489"/>
                                </a:lnTo>
                                <a:lnTo>
                                  <a:pt x="12166" y="2114550"/>
                                </a:lnTo>
                                <a:lnTo>
                                  <a:pt x="6896" y="2114550"/>
                                </a:lnTo>
                                <a:lnTo>
                                  <a:pt x="4660" y="2115489"/>
                                </a:lnTo>
                                <a:lnTo>
                                  <a:pt x="939" y="2119211"/>
                                </a:lnTo>
                                <a:lnTo>
                                  <a:pt x="0" y="2121446"/>
                                </a:lnTo>
                                <a:lnTo>
                                  <a:pt x="0" y="2133600"/>
                                </a:lnTo>
                                <a:lnTo>
                                  <a:pt x="0" y="2136241"/>
                                </a:lnTo>
                                <a:lnTo>
                                  <a:pt x="939" y="2138476"/>
                                </a:lnTo>
                                <a:lnTo>
                                  <a:pt x="4660" y="2142198"/>
                                </a:lnTo>
                                <a:lnTo>
                                  <a:pt x="6896" y="2143125"/>
                                </a:lnTo>
                                <a:lnTo>
                                  <a:pt x="12166" y="2143125"/>
                                </a:lnTo>
                                <a:lnTo>
                                  <a:pt x="14401" y="2142198"/>
                                </a:lnTo>
                                <a:lnTo>
                                  <a:pt x="18122" y="2138476"/>
                                </a:lnTo>
                                <a:lnTo>
                                  <a:pt x="19050" y="2136241"/>
                                </a:lnTo>
                                <a:lnTo>
                                  <a:pt x="19050" y="2121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740446"/>
                                </a:moveTo>
                                <a:lnTo>
                                  <a:pt x="18122" y="1738210"/>
                                </a:lnTo>
                                <a:lnTo>
                                  <a:pt x="14401" y="1734489"/>
                                </a:lnTo>
                                <a:lnTo>
                                  <a:pt x="12166" y="1733550"/>
                                </a:lnTo>
                                <a:lnTo>
                                  <a:pt x="6896" y="1733550"/>
                                </a:lnTo>
                                <a:lnTo>
                                  <a:pt x="4660" y="1734489"/>
                                </a:lnTo>
                                <a:lnTo>
                                  <a:pt x="939" y="1738210"/>
                                </a:lnTo>
                                <a:lnTo>
                                  <a:pt x="0" y="1740446"/>
                                </a:lnTo>
                                <a:lnTo>
                                  <a:pt x="0" y="1752600"/>
                                </a:lnTo>
                                <a:lnTo>
                                  <a:pt x="0" y="1755241"/>
                                </a:lnTo>
                                <a:lnTo>
                                  <a:pt x="939" y="1757476"/>
                                </a:lnTo>
                                <a:lnTo>
                                  <a:pt x="4660" y="1761197"/>
                                </a:lnTo>
                                <a:lnTo>
                                  <a:pt x="6896" y="1762125"/>
                                </a:lnTo>
                                <a:lnTo>
                                  <a:pt x="12166" y="1762125"/>
                                </a:lnTo>
                                <a:lnTo>
                                  <a:pt x="14401" y="1761197"/>
                                </a:lnTo>
                                <a:lnTo>
                                  <a:pt x="18122" y="1757476"/>
                                </a:lnTo>
                                <a:lnTo>
                                  <a:pt x="19050" y="1755241"/>
                                </a:lnTo>
                                <a:lnTo>
                                  <a:pt x="19050" y="1740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521371"/>
                                </a:moveTo>
                                <a:lnTo>
                                  <a:pt x="18122" y="1519135"/>
                                </a:lnTo>
                                <a:lnTo>
                                  <a:pt x="14401" y="1515414"/>
                                </a:lnTo>
                                <a:lnTo>
                                  <a:pt x="12166" y="1514475"/>
                                </a:lnTo>
                                <a:lnTo>
                                  <a:pt x="6896" y="1514475"/>
                                </a:lnTo>
                                <a:lnTo>
                                  <a:pt x="4660" y="1515414"/>
                                </a:lnTo>
                                <a:lnTo>
                                  <a:pt x="939" y="1519135"/>
                                </a:lnTo>
                                <a:lnTo>
                                  <a:pt x="0" y="1521371"/>
                                </a:lnTo>
                                <a:lnTo>
                                  <a:pt x="0" y="1533525"/>
                                </a:lnTo>
                                <a:lnTo>
                                  <a:pt x="0" y="1536166"/>
                                </a:lnTo>
                                <a:lnTo>
                                  <a:pt x="939" y="1538401"/>
                                </a:lnTo>
                                <a:lnTo>
                                  <a:pt x="4660" y="1542122"/>
                                </a:lnTo>
                                <a:lnTo>
                                  <a:pt x="6896" y="1543050"/>
                                </a:lnTo>
                                <a:lnTo>
                                  <a:pt x="12166" y="1543050"/>
                                </a:lnTo>
                                <a:lnTo>
                                  <a:pt x="14401" y="1542122"/>
                                </a:lnTo>
                                <a:lnTo>
                                  <a:pt x="18122" y="1538401"/>
                                </a:lnTo>
                                <a:lnTo>
                                  <a:pt x="19050" y="1536166"/>
                                </a:lnTo>
                                <a:lnTo>
                                  <a:pt x="19050" y="1521371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06a5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795" id="docshape14" coordorigin="705,0" coordsize="11214,9795" path="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5700;width:30;height:3375" id="docshape16" coordorigin="5010,5700" coordsize="30,3375" path="m5040,9041l5039,9037,5033,9031,5029,9030,5021,9030,5017,9031,5011,9037,5010,9041,5010,9060,5010,9064,5011,9068,5017,9074,5021,9075,5029,9075,5033,9074,5039,9068,5040,9064,5040,9041xm5040,8441l5039,8437,5033,8431,5029,8430,5021,8430,5017,8431,5011,8437,5010,8441,5010,8460,5010,8464,5011,8468,5017,8474,5021,8475,5029,8475,5033,8474,5039,8468,5040,8464,5040,8441xm5040,8096l5039,8092,5033,8086,5029,8085,5021,8085,5017,8086,5011,8092,5010,8096,5010,8115,5010,8119,5011,8123,5017,8129,5021,8130,5029,8130,5033,8129,5039,8123,5040,8119,5040,8096xm5040,6911l5039,6907,5033,6901,5029,6900,5021,6900,5017,6901,5011,6907,5010,6911,5010,6930,5010,6934,5011,6938,5017,6944,5021,6945,5029,6945,5033,6944,5039,6938,5040,6934,5040,6911xm5040,6311l5039,6307,5033,6301,5029,6300,5021,6300,5017,6301,5011,6307,5010,6311,5010,6330,5010,6334,5011,6338,5017,6344,5021,6345,5029,6345,5033,6344,5039,6338,5040,6334,5040,6311xm5040,5711l5039,5707,5033,5701,5029,5700,5021,5700,5017,5701,5011,5707,5010,5711,5010,5730,5010,5734,5011,5738,5017,5744,5021,5745,5029,5745,5033,5744,5039,5738,5040,5734,5040,57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Heading1"/>
        <w:spacing w:line="292" w:lineRule="auto"/>
        <w:ind w:right="7732"/>
      </w:pPr>
      <w:r>
        <w:rPr>
          <w:color w:val="FFFFFF"/>
        </w:rPr>
        <w:t>Bachelor of Science in Human </w:t>
      </w:r>
      <w:r>
        <w:rPr>
          <w:color w:val="FFFFFF"/>
          <w:w w:val="110"/>
        </w:rPr>
        <w:t>Resource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Management</w:t>
      </w:r>
    </w:p>
    <w:p>
      <w:pPr>
        <w:pStyle w:val="BodyText"/>
        <w:ind w:left="281"/>
      </w:pPr>
      <w:r>
        <w:rPr>
          <w:color w:val="FFFFFF"/>
        </w:rPr>
        <w:t>University</w:t>
      </w:r>
      <w:r>
        <w:rPr>
          <w:color w:val="FFFFFF"/>
          <w:spacing w:val="-1"/>
        </w:rPr>
        <w:t> </w:t>
      </w:r>
      <w:r>
        <w:rPr>
          <w:color w:val="FFFFFF"/>
        </w:rPr>
        <w:t>of</w:t>
      </w:r>
      <w:r>
        <w:rPr>
          <w:color w:val="FFFFFF"/>
          <w:spacing w:val="1"/>
        </w:rPr>
        <w:t> </w:t>
      </w:r>
      <w:r>
        <w:rPr>
          <w:color w:val="FFFFFF"/>
        </w:rPr>
        <w:t>Georgia,</w:t>
      </w:r>
      <w:r>
        <w:rPr>
          <w:color w:val="FFFFFF"/>
          <w:spacing w:val="-2"/>
        </w:rPr>
        <w:t> </w:t>
      </w:r>
      <w:r>
        <w:rPr>
          <w:color w:val="FFFFFF"/>
        </w:rPr>
        <w:t>Athens,</w:t>
      </w:r>
      <w:r>
        <w:rPr>
          <w:color w:val="FFFFFF"/>
          <w:spacing w:val="5"/>
        </w:rPr>
        <w:t> </w:t>
      </w:r>
      <w:r>
        <w:rPr>
          <w:color w:val="FFFFFF"/>
        </w:rPr>
        <w:t>GA</w:t>
      </w:r>
      <w:r>
        <w:rPr>
          <w:color w:val="FFFFFF"/>
          <w:spacing w:val="-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2013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2026-02-15T05:55:35Z</dcterms:created>
  <dcterms:modified xsi:type="dcterms:W3CDTF">2026-02-15T05:55:35Z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